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80B" w:rsidRDefault="00A941A1" w:rsidP="00082F2E">
      <w:pPr>
        <w:adjustRightInd w:val="0"/>
        <w:jc w:val="center"/>
        <w:outlineLvl w:val="3"/>
        <w:rPr>
          <w:b/>
          <w:bCs/>
          <w:sz w:val="24"/>
          <w:szCs w:val="24"/>
        </w:rPr>
      </w:pPr>
      <w:r w:rsidRPr="002B680B">
        <w:rPr>
          <w:b/>
          <w:bCs/>
          <w:sz w:val="24"/>
          <w:szCs w:val="24"/>
        </w:rPr>
        <w:t xml:space="preserve">Сообщение </w:t>
      </w:r>
    </w:p>
    <w:p w:rsidR="00082F2E" w:rsidRPr="002B680B" w:rsidRDefault="00A941A1" w:rsidP="002B680B">
      <w:pPr>
        <w:adjustRightInd w:val="0"/>
        <w:jc w:val="center"/>
        <w:outlineLvl w:val="3"/>
        <w:rPr>
          <w:b/>
          <w:bCs/>
          <w:sz w:val="24"/>
          <w:szCs w:val="24"/>
        </w:rPr>
      </w:pPr>
      <w:r w:rsidRPr="002B680B">
        <w:rPr>
          <w:b/>
          <w:bCs/>
          <w:sz w:val="24"/>
          <w:szCs w:val="24"/>
        </w:rPr>
        <w:t>о существенном факте</w:t>
      </w:r>
      <w:r w:rsidR="00B76554" w:rsidRPr="002B680B">
        <w:rPr>
          <w:b/>
          <w:bCs/>
          <w:sz w:val="24"/>
          <w:szCs w:val="24"/>
        </w:rPr>
        <w:t xml:space="preserve"> </w:t>
      </w:r>
      <w:r w:rsidR="00082F2E" w:rsidRPr="002B680B">
        <w:rPr>
          <w:b/>
          <w:bCs/>
          <w:sz w:val="24"/>
          <w:szCs w:val="24"/>
        </w:rPr>
        <w:t>о появлении у эмитента подконтрольной ему организации, имеющей для него существенное значение, а также о прекращении оснований контроля над такой организацией</w:t>
      </w:r>
    </w:p>
    <w:tbl>
      <w:tblPr>
        <w:tblW w:w="105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9"/>
        <w:gridCol w:w="5244"/>
      </w:tblGrid>
      <w:tr w:rsidR="00A941A1" w:rsidRPr="00A16F64" w:rsidTr="00B01A1C">
        <w:tc>
          <w:tcPr>
            <w:tcW w:w="10523" w:type="dxa"/>
            <w:gridSpan w:val="2"/>
          </w:tcPr>
          <w:p w:rsidR="00A941A1" w:rsidRPr="00A16F64" w:rsidRDefault="00A941A1">
            <w:pPr>
              <w:jc w:val="center"/>
              <w:rPr>
                <w:sz w:val="22"/>
                <w:szCs w:val="22"/>
              </w:rPr>
            </w:pPr>
            <w:r w:rsidRPr="00A16F64">
              <w:rPr>
                <w:sz w:val="22"/>
                <w:szCs w:val="22"/>
              </w:rPr>
              <w:t>1. Общие сведения</w:t>
            </w:r>
          </w:p>
        </w:tc>
      </w:tr>
      <w:tr w:rsidR="00CB66AE" w:rsidRPr="00A16F64" w:rsidTr="00B01A1C">
        <w:tc>
          <w:tcPr>
            <w:tcW w:w="5279" w:type="dxa"/>
          </w:tcPr>
          <w:p w:rsidR="00CB66AE" w:rsidRPr="00A16F64" w:rsidRDefault="00CB66AE">
            <w:pPr>
              <w:ind w:left="85" w:right="85"/>
              <w:jc w:val="both"/>
              <w:rPr>
                <w:sz w:val="22"/>
                <w:szCs w:val="22"/>
              </w:rPr>
            </w:pPr>
            <w:r w:rsidRPr="00A16F64">
              <w:rPr>
                <w:sz w:val="22"/>
                <w:szCs w:val="22"/>
              </w:rPr>
              <w:t xml:space="preserve">1.1. Полное фирменное наименование эмитента </w:t>
            </w:r>
          </w:p>
        </w:tc>
        <w:tc>
          <w:tcPr>
            <w:tcW w:w="5244" w:type="dxa"/>
          </w:tcPr>
          <w:p w:rsidR="00CB66AE" w:rsidRPr="00A16F64" w:rsidRDefault="00354A00" w:rsidP="00354A00">
            <w:pPr>
              <w:ind w:left="57"/>
              <w:rPr>
                <w:b/>
                <w:i/>
                <w:sz w:val="22"/>
                <w:szCs w:val="22"/>
              </w:rPr>
            </w:pPr>
            <w:r w:rsidRPr="00A16F64">
              <w:rPr>
                <w:b/>
                <w:i/>
                <w:sz w:val="22"/>
                <w:szCs w:val="22"/>
              </w:rPr>
              <w:t xml:space="preserve">Публичное </w:t>
            </w:r>
            <w:r w:rsidR="00CB66AE" w:rsidRPr="00A16F64">
              <w:rPr>
                <w:b/>
                <w:i/>
                <w:sz w:val="22"/>
                <w:szCs w:val="22"/>
              </w:rPr>
              <w:t>акционерное общество "ФосАгро"</w:t>
            </w:r>
          </w:p>
        </w:tc>
      </w:tr>
      <w:tr w:rsidR="00CB66AE" w:rsidRPr="00A16F64" w:rsidTr="00B01A1C">
        <w:tc>
          <w:tcPr>
            <w:tcW w:w="5279" w:type="dxa"/>
          </w:tcPr>
          <w:p w:rsidR="00CB66AE" w:rsidRPr="00A16F64" w:rsidRDefault="00CB66AE">
            <w:pPr>
              <w:ind w:left="85" w:right="85"/>
              <w:jc w:val="both"/>
              <w:rPr>
                <w:sz w:val="22"/>
                <w:szCs w:val="22"/>
              </w:rPr>
            </w:pPr>
            <w:r w:rsidRPr="00A16F64">
              <w:rPr>
                <w:sz w:val="22"/>
                <w:szCs w:val="22"/>
              </w:rPr>
              <w:t>1.2. Сокращенное фирменное наименование эмитента</w:t>
            </w:r>
          </w:p>
        </w:tc>
        <w:tc>
          <w:tcPr>
            <w:tcW w:w="5244" w:type="dxa"/>
          </w:tcPr>
          <w:p w:rsidR="00CB66AE" w:rsidRPr="00A16F64" w:rsidRDefault="00354A00" w:rsidP="00CB66AE">
            <w:pPr>
              <w:ind w:left="57"/>
              <w:rPr>
                <w:b/>
                <w:i/>
                <w:sz w:val="22"/>
                <w:szCs w:val="22"/>
              </w:rPr>
            </w:pPr>
            <w:r w:rsidRPr="00A16F64">
              <w:rPr>
                <w:b/>
                <w:i/>
                <w:sz w:val="22"/>
                <w:szCs w:val="22"/>
              </w:rPr>
              <w:t>П</w:t>
            </w:r>
            <w:r w:rsidR="00CB66AE" w:rsidRPr="00A16F64">
              <w:rPr>
                <w:b/>
                <w:i/>
                <w:sz w:val="22"/>
                <w:szCs w:val="22"/>
              </w:rPr>
              <w:t>АО "ФосАгро"</w:t>
            </w:r>
          </w:p>
        </w:tc>
      </w:tr>
      <w:tr w:rsidR="00CB66AE" w:rsidRPr="00A16F64" w:rsidTr="00B01A1C">
        <w:tc>
          <w:tcPr>
            <w:tcW w:w="5279" w:type="dxa"/>
          </w:tcPr>
          <w:p w:rsidR="00CB66AE" w:rsidRPr="00A16F64" w:rsidRDefault="00CB66AE">
            <w:pPr>
              <w:ind w:left="85" w:right="85"/>
              <w:jc w:val="both"/>
              <w:rPr>
                <w:sz w:val="22"/>
                <w:szCs w:val="22"/>
              </w:rPr>
            </w:pPr>
            <w:r w:rsidRPr="00A16F64">
              <w:rPr>
                <w:sz w:val="22"/>
                <w:szCs w:val="22"/>
              </w:rPr>
              <w:t>1.3. Место нахождения эмитента</w:t>
            </w:r>
          </w:p>
        </w:tc>
        <w:tc>
          <w:tcPr>
            <w:tcW w:w="5244" w:type="dxa"/>
          </w:tcPr>
          <w:p w:rsidR="00CB66AE" w:rsidRPr="00A16F64" w:rsidRDefault="00CB66AE" w:rsidP="00CB66AE">
            <w:pPr>
              <w:ind w:left="57"/>
              <w:rPr>
                <w:b/>
                <w:i/>
                <w:sz w:val="22"/>
                <w:szCs w:val="22"/>
              </w:rPr>
            </w:pPr>
            <w:smartTag w:uri="urn:schemas-microsoft-com:office:smarttags" w:element="metricconverter">
              <w:smartTagPr>
                <w:attr w:name="ProductID" w:val="119333, г"/>
              </w:smartTagPr>
              <w:r w:rsidRPr="00A16F64">
                <w:rPr>
                  <w:b/>
                  <w:i/>
                  <w:sz w:val="22"/>
                  <w:szCs w:val="22"/>
                </w:rPr>
                <w:t>119333, г</w:t>
              </w:r>
            </w:smartTag>
            <w:r w:rsidRPr="00A16F64">
              <w:rPr>
                <w:b/>
                <w:i/>
                <w:sz w:val="22"/>
                <w:szCs w:val="22"/>
              </w:rPr>
              <w:t>. Москва, Ленинский проспект, д. 55/1, стр. 1</w:t>
            </w:r>
          </w:p>
        </w:tc>
      </w:tr>
      <w:tr w:rsidR="00CB66AE" w:rsidRPr="00A16F64" w:rsidTr="00B01A1C">
        <w:tc>
          <w:tcPr>
            <w:tcW w:w="5279" w:type="dxa"/>
          </w:tcPr>
          <w:p w:rsidR="00CB66AE" w:rsidRPr="00A16F64" w:rsidRDefault="00CB66AE">
            <w:pPr>
              <w:ind w:left="85" w:right="85"/>
              <w:jc w:val="both"/>
              <w:rPr>
                <w:sz w:val="22"/>
                <w:szCs w:val="22"/>
              </w:rPr>
            </w:pPr>
            <w:r w:rsidRPr="00A16F64">
              <w:rPr>
                <w:sz w:val="22"/>
                <w:szCs w:val="22"/>
              </w:rPr>
              <w:t>1.4. ОГРН эмитента</w:t>
            </w:r>
          </w:p>
        </w:tc>
        <w:tc>
          <w:tcPr>
            <w:tcW w:w="5244" w:type="dxa"/>
          </w:tcPr>
          <w:p w:rsidR="00CB66AE" w:rsidRPr="00A16F64" w:rsidRDefault="00CB66AE" w:rsidP="00CB66AE">
            <w:pPr>
              <w:ind w:left="57"/>
              <w:rPr>
                <w:sz w:val="22"/>
                <w:szCs w:val="22"/>
              </w:rPr>
            </w:pPr>
            <w:r w:rsidRPr="00A16F64">
              <w:rPr>
                <w:b/>
                <w:i/>
                <w:sz w:val="22"/>
                <w:szCs w:val="22"/>
              </w:rPr>
              <w:t>1027700190572</w:t>
            </w:r>
          </w:p>
        </w:tc>
      </w:tr>
      <w:tr w:rsidR="00CB66AE" w:rsidRPr="00A16F64" w:rsidTr="00B01A1C">
        <w:tc>
          <w:tcPr>
            <w:tcW w:w="5279" w:type="dxa"/>
          </w:tcPr>
          <w:p w:rsidR="00CB66AE" w:rsidRPr="00A16F64" w:rsidRDefault="00CB66AE">
            <w:pPr>
              <w:ind w:left="85" w:right="85"/>
              <w:jc w:val="both"/>
              <w:rPr>
                <w:sz w:val="22"/>
                <w:szCs w:val="22"/>
              </w:rPr>
            </w:pPr>
            <w:r w:rsidRPr="00A16F64">
              <w:rPr>
                <w:sz w:val="22"/>
                <w:szCs w:val="22"/>
              </w:rPr>
              <w:t>1.5. ИНН эмитента</w:t>
            </w:r>
          </w:p>
        </w:tc>
        <w:tc>
          <w:tcPr>
            <w:tcW w:w="5244" w:type="dxa"/>
          </w:tcPr>
          <w:p w:rsidR="00CB66AE" w:rsidRPr="00A16F64" w:rsidRDefault="00CB66AE" w:rsidP="00CB66AE">
            <w:pPr>
              <w:ind w:left="57"/>
              <w:rPr>
                <w:sz w:val="22"/>
                <w:szCs w:val="22"/>
              </w:rPr>
            </w:pPr>
            <w:r w:rsidRPr="00A16F64">
              <w:rPr>
                <w:b/>
                <w:bCs/>
                <w:i/>
                <w:iCs/>
                <w:sz w:val="22"/>
                <w:szCs w:val="22"/>
              </w:rPr>
              <w:t>7736216869</w:t>
            </w:r>
          </w:p>
        </w:tc>
      </w:tr>
      <w:tr w:rsidR="00CB66AE" w:rsidRPr="00A16F64" w:rsidTr="00B01A1C">
        <w:tc>
          <w:tcPr>
            <w:tcW w:w="5279" w:type="dxa"/>
          </w:tcPr>
          <w:p w:rsidR="00CB66AE" w:rsidRPr="00A16F64" w:rsidRDefault="00CB66AE">
            <w:pPr>
              <w:ind w:left="85" w:right="85"/>
              <w:jc w:val="both"/>
              <w:rPr>
                <w:sz w:val="22"/>
                <w:szCs w:val="22"/>
              </w:rPr>
            </w:pPr>
            <w:r w:rsidRPr="00A16F64">
              <w:rPr>
                <w:sz w:val="22"/>
                <w:szCs w:val="22"/>
              </w:rPr>
              <w:t>1.6. Уникальный код эмитента, присвоенный регистрирующим органом</w:t>
            </w:r>
          </w:p>
        </w:tc>
        <w:tc>
          <w:tcPr>
            <w:tcW w:w="5244" w:type="dxa"/>
          </w:tcPr>
          <w:p w:rsidR="00CB66AE" w:rsidRPr="00A16F64" w:rsidRDefault="00CB66AE" w:rsidP="00CB66AE">
            <w:pPr>
              <w:ind w:left="57"/>
              <w:rPr>
                <w:sz w:val="22"/>
                <w:szCs w:val="22"/>
              </w:rPr>
            </w:pPr>
            <w:r w:rsidRPr="00A16F64">
              <w:rPr>
                <w:rStyle w:val="SUBST"/>
                <w:bCs/>
                <w:iCs/>
                <w:szCs w:val="22"/>
              </w:rPr>
              <w:t>06556-А</w:t>
            </w:r>
          </w:p>
        </w:tc>
      </w:tr>
      <w:tr w:rsidR="00CB66AE" w:rsidRPr="00A16F64" w:rsidTr="00B01A1C">
        <w:tc>
          <w:tcPr>
            <w:tcW w:w="5279" w:type="dxa"/>
          </w:tcPr>
          <w:p w:rsidR="00CB66AE" w:rsidRPr="00A16F64" w:rsidRDefault="00CB66AE">
            <w:pPr>
              <w:ind w:left="85" w:right="85"/>
              <w:jc w:val="both"/>
              <w:rPr>
                <w:sz w:val="22"/>
                <w:szCs w:val="22"/>
              </w:rPr>
            </w:pPr>
            <w:r w:rsidRPr="00A16F64">
              <w:rPr>
                <w:sz w:val="22"/>
                <w:szCs w:val="22"/>
              </w:rPr>
              <w:t>1.7. Адрес страницы в сети Интернет, используемой эмитентом для раскрытия информации</w:t>
            </w:r>
          </w:p>
        </w:tc>
        <w:tc>
          <w:tcPr>
            <w:tcW w:w="5244" w:type="dxa"/>
          </w:tcPr>
          <w:p w:rsidR="009556A2" w:rsidRPr="00A16F64" w:rsidRDefault="007B0ADD" w:rsidP="009556A2">
            <w:pPr>
              <w:jc w:val="both"/>
              <w:rPr>
                <w:rStyle w:val="a5"/>
                <w:b/>
                <w:bCs/>
                <w:i/>
                <w:iCs/>
                <w:sz w:val="22"/>
                <w:szCs w:val="22"/>
              </w:rPr>
            </w:pPr>
            <w:hyperlink r:id="rId6" w:history="1">
              <w:r w:rsidR="009556A2" w:rsidRPr="00A16F64">
                <w:rPr>
                  <w:rStyle w:val="a5"/>
                  <w:b/>
                  <w:bCs/>
                  <w:i/>
                  <w:iCs/>
                  <w:sz w:val="22"/>
                  <w:szCs w:val="22"/>
                </w:rPr>
                <w:t>http://www.phosagro.ru/ori/item4157.php</w:t>
              </w:r>
            </w:hyperlink>
          </w:p>
          <w:p w:rsidR="00CB66AE" w:rsidRPr="00A16F64" w:rsidRDefault="009556A2" w:rsidP="00290CAD">
            <w:pPr>
              <w:rPr>
                <w:sz w:val="22"/>
                <w:szCs w:val="22"/>
              </w:rPr>
            </w:pPr>
            <w:r w:rsidRPr="00A16F64">
              <w:rPr>
                <w:rStyle w:val="a5"/>
                <w:b/>
                <w:bCs/>
                <w:i/>
                <w:iCs/>
                <w:sz w:val="22"/>
                <w:szCs w:val="22"/>
              </w:rPr>
              <w:t>http://www.e-disclosure.ru/portal/company.aspx?id=573</w:t>
            </w:r>
          </w:p>
        </w:tc>
      </w:tr>
      <w:tr w:rsidR="002B680B" w:rsidRPr="00A16F64" w:rsidTr="00B01A1C">
        <w:tc>
          <w:tcPr>
            <w:tcW w:w="5279" w:type="dxa"/>
          </w:tcPr>
          <w:p w:rsidR="002B680B" w:rsidRPr="00A16F64" w:rsidRDefault="002B680B" w:rsidP="002B680B">
            <w:pPr>
              <w:ind w:left="85" w:right="85"/>
              <w:jc w:val="both"/>
              <w:rPr>
                <w:sz w:val="22"/>
                <w:szCs w:val="22"/>
              </w:rPr>
            </w:pPr>
            <w:r w:rsidRPr="00A16F64">
              <w:rPr>
                <w:sz w:val="22"/>
                <w:szCs w:val="22"/>
              </w:rPr>
              <w:t>1.8. Дата наступления события (существенного факта), о котором составлено сообщение (если применимо)</w:t>
            </w:r>
          </w:p>
        </w:tc>
        <w:tc>
          <w:tcPr>
            <w:tcW w:w="5244" w:type="dxa"/>
          </w:tcPr>
          <w:p w:rsidR="002B680B" w:rsidRPr="00A16F64" w:rsidRDefault="002B680B" w:rsidP="002B680B">
            <w:pPr>
              <w:pStyle w:val="a6"/>
              <w:ind w:left="0"/>
              <w:jc w:val="both"/>
              <w:rPr>
                <w:sz w:val="22"/>
                <w:szCs w:val="22"/>
              </w:rPr>
            </w:pPr>
            <w:r w:rsidRPr="00A16F64">
              <w:rPr>
                <w:rStyle w:val="SUBST"/>
                <w:bCs/>
                <w:iCs/>
                <w:szCs w:val="22"/>
              </w:rPr>
              <w:t>01 апреля 2019 г.</w:t>
            </w:r>
          </w:p>
        </w:tc>
      </w:tr>
    </w:tbl>
    <w:p w:rsidR="00A941A1" w:rsidRPr="00A16F64" w:rsidRDefault="00A941A1">
      <w:pPr>
        <w:rPr>
          <w:sz w:val="22"/>
          <w:szCs w:val="22"/>
        </w:rPr>
      </w:pPr>
    </w:p>
    <w:tbl>
      <w:tblPr>
        <w:tblW w:w="105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23"/>
      </w:tblGrid>
      <w:tr w:rsidR="00A941A1" w:rsidRPr="00A16F64" w:rsidTr="00B01A1C">
        <w:tc>
          <w:tcPr>
            <w:tcW w:w="10523" w:type="dxa"/>
          </w:tcPr>
          <w:p w:rsidR="00A941A1" w:rsidRPr="00A16F64" w:rsidRDefault="00A941A1">
            <w:pPr>
              <w:jc w:val="center"/>
              <w:rPr>
                <w:sz w:val="22"/>
                <w:szCs w:val="22"/>
              </w:rPr>
            </w:pPr>
            <w:r w:rsidRPr="00A16F64">
              <w:rPr>
                <w:sz w:val="22"/>
                <w:szCs w:val="22"/>
              </w:rPr>
              <w:t>2. Содержание сообщения</w:t>
            </w:r>
          </w:p>
        </w:tc>
      </w:tr>
      <w:tr w:rsidR="00A941A1" w:rsidRPr="00A16F64" w:rsidTr="00B01A1C">
        <w:tc>
          <w:tcPr>
            <w:tcW w:w="10523" w:type="dxa"/>
          </w:tcPr>
          <w:p w:rsidR="00A941A1" w:rsidRPr="00A16F64" w:rsidRDefault="00A16F64" w:rsidP="00A16F64">
            <w:pPr>
              <w:adjustRightInd w:val="0"/>
              <w:jc w:val="center"/>
              <w:outlineLvl w:val="3"/>
              <w:rPr>
                <w:b/>
                <w:bCs/>
                <w:sz w:val="22"/>
                <w:szCs w:val="22"/>
              </w:rPr>
            </w:pPr>
            <w:r w:rsidRPr="00A16F64">
              <w:rPr>
                <w:b/>
                <w:sz w:val="22"/>
              </w:rPr>
              <w:t>О подконтрольной эмитенту организации, переставшей иметь для него существенное значение</w:t>
            </w:r>
          </w:p>
        </w:tc>
      </w:tr>
      <w:tr w:rsidR="00A941A1" w:rsidRPr="00A16F64" w:rsidTr="00B01A1C">
        <w:tc>
          <w:tcPr>
            <w:tcW w:w="10523" w:type="dxa"/>
          </w:tcPr>
          <w:p w:rsidR="000A2DB8" w:rsidRPr="002158CE" w:rsidRDefault="00F646E7" w:rsidP="00DE1DB8">
            <w:pPr>
              <w:tabs>
                <w:tab w:val="left" w:pos="567"/>
              </w:tabs>
              <w:ind w:left="85" w:right="85"/>
              <w:jc w:val="both"/>
              <w:rPr>
                <w:b/>
                <w:i/>
                <w:sz w:val="22"/>
                <w:szCs w:val="22"/>
              </w:rPr>
            </w:pPr>
            <w:r w:rsidRPr="002158CE">
              <w:rPr>
                <w:sz w:val="22"/>
                <w:szCs w:val="22"/>
              </w:rPr>
              <w:t>2.1</w:t>
            </w:r>
            <w:r w:rsidR="00082F2E" w:rsidRPr="002158CE">
              <w:rPr>
                <w:sz w:val="22"/>
                <w:szCs w:val="22"/>
              </w:rPr>
              <w:t>.</w:t>
            </w:r>
            <w:r w:rsidR="00DE1DB8" w:rsidRPr="002158CE">
              <w:rPr>
                <w:sz w:val="22"/>
                <w:szCs w:val="22"/>
              </w:rPr>
              <w:t xml:space="preserve"> </w:t>
            </w:r>
            <w:r w:rsidR="002158CE" w:rsidRPr="002158CE">
              <w:rPr>
                <w:sz w:val="22"/>
                <w:szCs w:val="22"/>
              </w:rPr>
              <w:t>Полное фирменное наименование, место нахождения, ИНН (если применимо), ОГРН (если применимо) организации, которая перестала иметь для эмитента существенное значение</w:t>
            </w:r>
            <w:r w:rsidR="00CB66AE" w:rsidRPr="002158CE">
              <w:rPr>
                <w:color w:val="000000"/>
                <w:sz w:val="22"/>
                <w:szCs w:val="22"/>
              </w:rPr>
              <w:t>:</w:t>
            </w:r>
            <w:r w:rsidR="00370F66" w:rsidRPr="002158CE">
              <w:rPr>
                <w:sz w:val="22"/>
                <w:szCs w:val="22"/>
              </w:rPr>
              <w:t xml:space="preserve"> </w:t>
            </w:r>
            <w:r w:rsidR="0028466E" w:rsidRPr="0092373A">
              <w:rPr>
                <w:b/>
                <w:i/>
                <w:color w:val="000000"/>
                <w:sz w:val="22"/>
                <w:szCs w:val="22"/>
              </w:rPr>
              <w:t>Акционерное общество «Метахим» (АО «Метахим</w:t>
            </w:r>
            <w:r w:rsidR="0028466E">
              <w:rPr>
                <w:sz w:val="22"/>
                <w:szCs w:val="22"/>
              </w:rPr>
              <w:t>»)</w:t>
            </w:r>
            <w:r w:rsidR="0028466E" w:rsidRPr="005F23D3">
              <w:rPr>
                <w:b/>
                <w:i/>
                <w:color w:val="000000"/>
                <w:sz w:val="22"/>
                <w:szCs w:val="22"/>
              </w:rPr>
              <w:t xml:space="preserve">, место нахождения: Российская Федерация, Ленинградская область, </w:t>
            </w:r>
            <w:r w:rsidR="008B24FD">
              <w:rPr>
                <w:b/>
                <w:i/>
                <w:color w:val="000000"/>
                <w:sz w:val="22"/>
                <w:szCs w:val="22"/>
              </w:rPr>
              <w:t xml:space="preserve">            </w:t>
            </w:r>
            <w:r w:rsidR="0028466E" w:rsidRPr="005F23D3">
              <w:rPr>
                <w:b/>
                <w:i/>
                <w:color w:val="000000"/>
                <w:sz w:val="22"/>
                <w:szCs w:val="22"/>
              </w:rPr>
              <w:t>г. Волхов, ИНН 4702017820, ОГРН 1144702000520</w:t>
            </w:r>
            <w:r w:rsidR="005B4254" w:rsidRPr="002158CE">
              <w:rPr>
                <w:b/>
                <w:i/>
                <w:color w:val="000000"/>
                <w:sz w:val="22"/>
                <w:szCs w:val="22"/>
              </w:rPr>
              <w:t>.</w:t>
            </w:r>
          </w:p>
          <w:p w:rsidR="00A941A1" w:rsidRPr="002158CE" w:rsidRDefault="00F646E7" w:rsidP="00313AEC">
            <w:pPr>
              <w:adjustRightInd w:val="0"/>
              <w:ind w:left="85" w:right="85"/>
              <w:jc w:val="both"/>
              <w:rPr>
                <w:color w:val="000000"/>
                <w:sz w:val="22"/>
                <w:szCs w:val="22"/>
              </w:rPr>
            </w:pPr>
            <w:r w:rsidRPr="002158CE">
              <w:rPr>
                <w:color w:val="000000"/>
                <w:sz w:val="22"/>
                <w:szCs w:val="22"/>
              </w:rPr>
              <w:t>2.2.</w:t>
            </w:r>
            <w:r w:rsidR="00DE1DB8" w:rsidRPr="002158CE">
              <w:rPr>
                <w:color w:val="000000"/>
                <w:sz w:val="22"/>
                <w:szCs w:val="22"/>
              </w:rPr>
              <w:t xml:space="preserve"> </w:t>
            </w:r>
            <w:r w:rsidR="002158CE" w:rsidRPr="002158CE">
              <w:rPr>
                <w:sz w:val="22"/>
                <w:szCs w:val="22"/>
              </w:rPr>
              <w:t>Вид контроля, под которым находится организация, которая перестала иметь для эмитента существенное значение (прямой контроль, косвенный контроль)</w:t>
            </w:r>
            <w:r w:rsidR="00634540" w:rsidRPr="002158CE">
              <w:rPr>
                <w:color w:val="000000"/>
                <w:sz w:val="22"/>
                <w:szCs w:val="22"/>
              </w:rPr>
              <w:t xml:space="preserve">: </w:t>
            </w:r>
            <w:r w:rsidR="00354A00" w:rsidRPr="002158CE">
              <w:rPr>
                <w:b/>
                <w:i/>
                <w:color w:val="000000"/>
                <w:sz w:val="22"/>
                <w:szCs w:val="22"/>
              </w:rPr>
              <w:t>прямой</w:t>
            </w:r>
            <w:r w:rsidR="00634540" w:rsidRPr="002158CE">
              <w:rPr>
                <w:b/>
                <w:i/>
                <w:color w:val="000000"/>
                <w:sz w:val="22"/>
                <w:szCs w:val="22"/>
              </w:rPr>
              <w:t xml:space="preserve"> контроль</w:t>
            </w:r>
          </w:p>
          <w:p w:rsidR="00A941A1" w:rsidRPr="002158CE" w:rsidRDefault="00A941A1" w:rsidP="00313AEC">
            <w:pPr>
              <w:ind w:left="85" w:right="85"/>
              <w:jc w:val="both"/>
              <w:rPr>
                <w:b/>
                <w:i/>
                <w:sz w:val="22"/>
                <w:szCs w:val="22"/>
              </w:rPr>
            </w:pPr>
            <w:r w:rsidRPr="002158CE">
              <w:rPr>
                <w:sz w:val="22"/>
                <w:szCs w:val="22"/>
              </w:rPr>
              <w:t>2.3.</w:t>
            </w:r>
            <w:r w:rsidR="00DE1DB8" w:rsidRPr="002158CE">
              <w:rPr>
                <w:sz w:val="22"/>
                <w:szCs w:val="22"/>
              </w:rPr>
              <w:t xml:space="preserve"> </w:t>
            </w:r>
            <w:r w:rsidR="002158CE" w:rsidRPr="002158CE">
              <w:rPr>
                <w:sz w:val="22"/>
                <w:szCs w:val="22"/>
              </w:rPr>
              <w:t>Основание, в силу которого эмитент осуществляет контроль над организацией, которая перестала иметь для него существенное значение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r w:rsidR="00CB66AE" w:rsidRPr="002158CE">
              <w:rPr>
                <w:color w:val="000000"/>
                <w:sz w:val="22"/>
                <w:szCs w:val="22"/>
              </w:rPr>
              <w:t>:</w:t>
            </w:r>
            <w:r w:rsidR="002C2FD5" w:rsidRPr="002158CE">
              <w:rPr>
                <w:sz w:val="22"/>
                <w:szCs w:val="22"/>
              </w:rPr>
              <w:t xml:space="preserve"> </w:t>
            </w:r>
            <w:r w:rsidR="00634540" w:rsidRPr="002158CE">
              <w:rPr>
                <w:b/>
                <w:i/>
                <w:color w:val="000000"/>
                <w:sz w:val="22"/>
                <w:szCs w:val="22"/>
              </w:rPr>
              <w:t xml:space="preserve">участие в подконтрольной эмитенту организации. </w:t>
            </w:r>
          </w:p>
          <w:p w:rsidR="00082F2E" w:rsidRPr="002158CE" w:rsidRDefault="00082F2E" w:rsidP="00313AEC">
            <w:pPr>
              <w:ind w:left="85" w:right="85"/>
              <w:jc w:val="both"/>
              <w:rPr>
                <w:color w:val="000000"/>
                <w:sz w:val="22"/>
                <w:szCs w:val="22"/>
              </w:rPr>
            </w:pPr>
            <w:r w:rsidRPr="002158CE">
              <w:rPr>
                <w:color w:val="000000"/>
                <w:sz w:val="22"/>
                <w:szCs w:val="22"/>
              </w:rPr>
              <w:t xml:space="preserve">2.4. </w:t>
            </w:r>
            <w:r w:rsidR="002158CE" w:rsidRPr="002158CE">
              <w:rPr>
                <w:color w:val="000000"/>
                <w:sz w:val="22"/>
                <w:szCs w:val="22"/>
              </w:rPr>
              <w:t>П</w:t>
            </w:r>
            <w:r w:rsidR="002158CE" w:rsidRPr="002158CE">
              <w:rPr>
                <w:sz w:val="22"/>
                <w:szCs w:val="22"/>
              </w:rPr>
              <w:t>ризнак осуществления эмитентом контроля над организацией, которая перестала иметь для него существенное значение (право распоряжаться более 50 процентами голосов в высшем органе управления подконтрольной эмитенту организации, право назначать (избирать) единоличный исполнительный орган подконтрольной эмитенту организации, право назначать (избирать) более 50 процентов состава коллегиального органа управления подконтрольной эмитенту организации)</w:t>
            </w:r>
            <w:r w:rsidR="00634540" w:rsidRPr="002158CE">
              <w:rPr>
                <w:color w:val="000000"/>
                <w:sz w:val="22"/>
                <w:szCs w:val="22"/>
              </w:rPr>
              <w:t xml:space="preserve">: </w:t>
            </w:r>
            <w:r w:rsidR="00634540" w:rsidRPr="002158CE">
              <w:rPr>
                <w:b/>
                <w:i/>
                <w:color w:val="000000"/>
                <w:sz w:val="22"/>
                <w:szCs w:val="22"/>
              </w:rPr>
              <w:t>право распоряжаться</w:t>
            </w:r>
            <w:r w:rsidR="005603D9" w:rsidRPr="002158CE">
              <w:rPr>
                <w:b/>
                <w:i/>
                <w:color w:val="000000"/>
                <w:sz w:val="22"/>
                <w:szCs w:val="22"/>
              </w:rPr>
              <w:t xml:space="preserve"> </w:t>
            </w:r>
            <w:r w:rsidR="00634540" w:rsidRPr="002158CE">
              <w:rPr>
                <w:b/>
                <w:i/>
                <w:color w:val="000000"/>
                <w:sz w:val="22"/>
                <w:szCs w:val="22"/>
              </w:rPr>
              <w:t>более 50 процентами голосов в высшем органе управления подконтрольной эмитенту организации.</w:t>
            </w:r>
          </w:p>
          <w:p w:rsidR="00082F2E" w:rsidRPr="002158CE" w:rsidRDefault="00082F2E" w:rsidP="007B0ADD">
            <w:pPr>
              <w:ind w:left="85" w:right="85"/>
              <w:jc w:val="both"/>
              <w:rPr>
                <w:color w:val="000000"/>
                <w:sz w:val="22"/>
                <w:szCs w:val="22"/>
              </w:rPr>
            </w:pPr>
            <w:r w:rsidRPr="002158CE">
              <w:rPr>
                <w:color w:val="000000"/>
                <w:sz w:val="22"/>
                <w:szCs w:val="22"/>
              </w:rPr>
              <w:t xml:space="preserve">2.5. </w:t>
            </w:r>
            <w:r w:rsidR="002158CE" w:rsidRPr="002158CE">
              <w:rPr>
                <w:color w:val="000000"/>
                <w:sz w:val="22"/>
                <w:szCs w:val="22"/>
              </w:rPr>
              <w:t>О</w:t>
            </w:r>
            <w:r w:rsidR="002158CE" w:rsidRPr="002158CE">
              <w:rPr>
                <w:sz w:val="22"/>
                <w:szCs w:val="22"/>
              </w:rPr>
              <w:t xml:space="preserve">снование, в силу которого подконтрольная эмитенту организация перестала иметь для него существенное значение (составление консолидированной финансовой отчетности, по данным которой на подконтрольную эмитенту организацию приходится менее пяти процентов консолидированной стоимости активов или менее пяти процентов консолидированного дохода, </w:t>
            </w:r>
            <w:r w:rsidR="002158CE" w:rsidRPr="001D5C4A">
              <w:rPr>
                <w:sz w:val="22"/>
                <w:szCs w:val="22"/>
              </w:rPr>
              <w:t>изменение (прекращение) деятельности,</w:t>
            </w:r>
            <w:r w:rsidR="002158CE" w:rsidRPr="002158CE">
              <w:rPr>
                <w:sz w:val="22"/>
                <w:szCs w:val="22"/>
              </w:rPr>
              <w:t xml:space="preserve"> изменение финансового положения и (или) финансовых результатов деятельности подконтрольной эмитенту организации, в результате которого такая организация перестала оказывать существенное влияние на финансовое положение, финансовые результаты деятельности и изменение финансового положения группы организаций, в которую входят эмитент и подконтрольные ему лица)</w:t>
            </w:r>
            <w:r w:rsidR="00634540" w:rsidRPr="002158CE">
              <w:rPr>
                <w:color w:val="000000"/>
                <w:sz w:val="22"/>
                <w:szCs w:val="22"/>
              </w:rPr>
              <w:t xml:space="preserve">: </w:t>
            </w:r>
            <w:r w:rsidR="007B0ADD">
              <w:rPr>
                <w:b/>
                <w:i/>
                <w:color w:val="000000"/>
                <w:sz w:val="22"/>
                <w:szCs w:val="22"/>
              </w:rPr>
              <w:t>прекращение деятельности подконтрольной эмитенту организации путем реорганизации в форме присоединения.</w:t>
            </w:r>
            <w:bookmarkStart w:id="0" w:name="_GoBack"/>
            <w:bookmarkEnd w:id="0"/>
          </w:p>
          <w:p w:rsidR="00470A09" w:rsidRPr="002158CE" w:rsidRDefault="00A941A1" w:rsidP="00313AEC">
            <w:pPr>
              <w:ind w:left="85" w:right="85"/>
              <w:jc w:val="both"/>
              <w:rPr>
                <w:b/>
                <w:i/>
                <w:sz w:val="22"/>
                <w:szCs w:val="22"/>
              </w:rPr>
            </w:pPr>
            <w:r w:rsidRPr="002158CE">
              <w:rPr>
                <w:color w:val="000000"/>
                <w:sz w:val="22"/>
                <w:szCs w:val="22"/>
              </w:rPr>
              <w:t>2.</w:t>
            </w:r>
            <w:r w:rsidR="004E3C13" w:rsidRPr="002158CE">
              <w:rPr>
                <w:color w:val="000000"/>
                <w:sz w:val="22"/>
                <w:szCs w:val="22"/>
              </w:rPr>
              <w:t>6</w:t>
            </w:r>
            <w:r w:rsidRPr="002158CE">
              <w:rPr>
                <w:color w:val="000000"/>
                <w:sz w:val="22"/>
                <w:szCs w:val="22"/>
              </w:rPr>
              <w:t>.</w:t>
            </w:r>
            <w:r w:rsidR="00DE1DB8" w:rsidRPr="002158CE">
              <w:rPr>
                <w:color w:val="000000"/>
                <w:sz w:val="22"/>
                <w:szCs w:val="22"/>
              </w:rPr>
              <w:t xml:space="preserve"> </w:t>
            </w:r>
            <w:r w:rsidR="002158CE" w:rsidRPr="002158CE">
              <w:rPr>
                <w:sz w:val="22"/>
                <w:szCs w:val="22"/>
              </w:rPr>
              <w:t>Дата наступления основания, в силу которого подконтрольная эмитенту организация перестала иметь для него существенное значение</w:t>
            </w:r>
            <w:r w:rsidR="003946BC" w:rsidRPr="002158CE">
              <w:rPr>
                <w:color w:val="000000"/>
                <w:sz w:val="22"/>
                <w:szCs w:val="22"/>
              </w:rPr>
              <w:t>:</w:t>
            </w:r>
            <w:r w:rsidR="00B145AA" w:rsidRPr="002158CE">
              <w:rPr>
                <w:color w:val="000000"/>
                <w:sz w:val="22"/>
                <w:szCs w:val="22"/>
              </w:rPr>
              <w:t xml:space="preserve"> </w:t>
            </w:r>
            <w:r w:rsidR="005B4254" w:rsidRPr="002158CE">
              <w:rPr>
                <w:b/>
                <w:i/>
                <w:color w:val="000000"/>
                <w:sz w:val="22"/>
                <w:szCs w:val="22"/>
              </w:rPr>
              <w:t xml:space="preserve">01 </w:t>
            </w:r>
            <w:r w:rsidR="002B680B" w:rsidRPr="002158CE">
              <w:rPr>
                <w:b/>
                <w:i/>
                <w:color w:val="000000"/>
                <w:sz w:val="22"/>
                <w:szCs w:val="22"/>
              </w:rPr>
              <w:t>апреля 2019</w:t>
            </w:r>
            <w:r w:rsidR="00634540" w:rsidRPr="002158CE">
              <w:rPr>
                <w:b/>
                <w:i/>
                <w:color w:val="000000"/>
                <w:sz w:val="22"/>
                <w:szCs w:val="22"/>
              </w:rPr>
              <w:t xml:space="preserve"> г.</w:t>
            </w:r>
          </w:p>
          <w:p w:rsidR="00A941A1" w:rsidRPr="00A16F64" w:rsidRDefault="00A941A1" w:rsidP="003946BC">
            <w:pPr>
              <w:ind w:left="85"/>
              <w:jc w:val="both"/>
              <w:rPr>
                <w:sz w:val="22"/>
                <w:szCs w:val="22"/>
              </w:rPr>
            </w:pPr>
          </w:p>
        </w:tc>
      </w:tr>
    </w:tbl>
    <w:p w:rsidR="00A941A1" w:rsidRPr="00A16F64" w:rsidRDefault="00A941A1" w:rsidP="00A941A1">
      <w:pPr>
        <w:jc w:val="both"/>
        <w:rPr>
          <w:sz w:val="22"/>
          <w:szCs w:val="22"/>
        </w:rPr>
      </w:pPr>
    </w:p>
    <w:tbl>
      <w:tblPr>
        <w:tblW w:w="1052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93"/>
        <w:gridCol w:w="374"/>
        <w:gridCol w:w="293"/>
        <w:gridCol w:w="1318"/>
        <w:gridCol w:w="415"/>
        <w:gridCol w:w="307"/>
        <w:gridCol w:w="412"/>
        <w:gridCol w:w="1984"/>
        <w:gridCol w:w="851"/>
        <w:gridCol w:w="2835"/>
        <w:gridCol w:w="142"/>
      </w:tblGrid>
      <w:tr w:rsidR="00A941A1" w:rsidRPr="00A16F64" w:rsidTr="00B01A1C">
        <w:trPr>
          <w:cantSplit/>
        </w:trPr>
        <w:tc>
          <w:tcPr>
            <w:tcW w:w="10524" w:type="dxa"/>
            <w:gridSpan w:val="11"/>
          </w:tcPr>
          <w:p w:rsidR="00A941A1" w:rsidRPr="00A16F64" w:rsidRDefault="00A941A1">
            <w:pPr>
              <w:jc w:val="center"/>
              <w:rPr>
                <w:sz w:val="22"/>
                <w:szCs w:val="22"/>
              </w:rPr>
            </w:pPr>
            <w:r w:rsidRPr="00A16F64">
              <w:rPr>
                <w:sz w:val="22"/>
                <w:szCs w:val="22"/>
              </w:rPr>
              <w:t>3. Подпись</w:t>
            </w:r>
          </w:p>
        </w:tc>
      </w:tr>
      <w:tr w:rsidR="00A941A1" w:rsidRPr="00A16F64" w:rsidTr="00B01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12" w:type="dxa"/>
            <w:gridSpan w:val="7"/>
            <w:tcBorders>
              <w:top w:val="single" w:sz="4" w:space="0" w:color="auto"/>
              <w:left w:val="single" w:sz="4" w:space="0" w:color="auto"/>
              <w:bottom w:val="nil"/>
              <w:right w:val="nil"/>
            </w:tcBorders>
            <w:vAlign w:val="bottom"/>
          </w:tcPr>
          <w:p w:rsidR="009F6369" w:rsidRPr="00A16F64" w:rsidRDefault="00A941A1" w:rsidP="009F6369">
            <w:pPr>
              <w:ind w:left="57"/>
              <w:jc w:val="center"/>
              <w:rPr>
                <w:sz w:val="22"/>
                <w:szCs w:val="22"/>
              </w:rPr>
            </w:pPr>
            <w:r w:rsidRPr="00A16F64">
              <w:rPr>
                <w:sz w:val="22"/>
                <w:szCs w:val="22"/>
              </w:rPr>
              <w:t xml:space="preserve">3.1. </w:t>
            </w:r>
            <w:r w:rsidR="00CB66AE" w:rsidRPr="00A16F64">
              <w:rPr>
                <w:sz w:val="22"/>
                <w:szCs w:val="22"/>
              </w:rPr>
              <w:t xml:space="preserve">Заместитель Генерального директора </w:t>
            </w:r>
            <w:r w:rsidR="00354A00" w:rsidRPr="00A16F64">
              <w:rPr>
                <w:sz w:val="22"/>
                <w:szCs w:val="22"/>
              </w:rPr>
              <w:t>П</w:t>
            </w:r>
            <w:r w:rsidR="00CB66AE" w:rsidRPr="00A16F64">
              <w:rPr>
                <w:sz w:val="22"/>
                <w:szCs w:val="22"/>
              </w:rPr>
              <w:t>АО «ФосАгро» по корпоративным и правовым вопросам</w:t>
            </w:r>
          </w:p>
          <w:p w:rsidR="00A941A1" w:rsidRPr="00A16F64" w:rsidRDefault="00CB66AE" w:rsidP="00354A00">
            <w:pPr>
              <w:ind w:left="57"/>
              <w:jc w:val="center"/>
              <w:rPr>
                <w:sz w:val="22"/>
                <w:szCs w:val="22"/>
              </w:rPr>
            </w:pPr>
            <w:r w:rsidRPr="00A16F64">
              <w:rPr>
                <w:sz w:val="22"/>
                <w:szCs w:val="22"/>
              </w:rPr>
              <w:t>(</w:t>
            </w:r>
            <w:r w:rsidR="004F1F5F" w:rsidRPr="00A16F64">
              <w:rPr>
                <w:sz w:val="22"/>
                <w:szCs w:val="22"/>
              </w:rPr>
              <w:t xml:space="preserve">Доверенность </w:t>
            </w:r>
            <w:r w:rsidR="00354A00" w:rsidRPr="00A16F64">
              <w:rPr>
                <w:sz w:val="22"/>
                <w:szCs w:val="22"/>
              </w:rPr>
              <w:t>б/н</w:t>
            </w:r>
            <w:r w:rsidR="004F1F5F" w:rsidRPr="00A16F64">
              <w:rPr>
                <w:sz w:val="22"/>
                <w:szCs w:val="22"/>
              </w:rPr>
              <w:t xml:space="preserve"> от </w:t>
            </w:r>
            <w:r w:rsidR="00354A00" w:rsidRPr="00A16F64">
              <w:rPr>
                <w:sz w:val="22"/>
                <w:szCs w:val="22"/>
              </w:rPr>
              <w:t>23.08.2016</w:t>
            </w:r>
            <w:r w:rsidR="004F1F5F" w:rsidRPr="00A16F64">
              <w:rPr>
                <w:sz w:val="22"/>
                <w:szCs w:val="22"/>
              </w:rPr>
              <w:t xml:space="preserve"> г.</w:t>
            </w:r>
            <w:r w:rsidRPr="00A16F64">
              <w:rPr>
                <w:sz w:val="22"/>
                <w:szCs w:val="22"/>
              </w:rPr>
              <w:t>)</w:t>
            </w:r>
          </w:p>
        </w:tc>
        <w:tc>
          <w:tcPr>
            <w:tcW w:w="1984" w:type="dxa"/>
            <w:tcBorders>
              <w:top w:val="single" w:sz="4" w:space="0" w:color="auto"/>
              <w:left w:val="nil"/>
              <w:bottom w:val="single" w:sz="4" w:space="0" w:color="auto"/>
              <w:right w:val="nil"/>
            </w:tcBorders>
            <w:vAlign w:val="bottom"/>
          </w:tcPr>
          <w:p w:rsidR="00A941A1" w:rsidRPr="00A16F64" w:rsidRDefault="00A941A1">
            <w:pPr>
              <w:jc w:val="center"/>
              <w:rPr>
                <w:sz w:val="22"/>
                <w:szCs w:val="22"/>
              </w:rPr>
            </w:pPr>
          </w:p>
        </w:tc>
        <w:tc>
          <w:tcPr>
            <w:tcW w:w="851" w:type="dxa"/>
            <w:tcBorders>
              <w:top w:val="single" w:sz="4" w:space="0" w:color="auto"/>
              <w:left w:val="nil"/>
              <w:bottom w:val="nil"/>
              <w:right w:val="nil"/>
            </w:tcBorders>
            <w:vAlign w:val="bottom"/>
          </w:tcPr>
          <w:p w:rsidR="00A941A1" w:rsidRPr="00A16F64" w:rsidRDefault="00A941A1">
            <w:pPr>
              <w:rPr>
                <w:sz w:val="22"/>
                <w:szCs w:val="22"/>
              </w:rPr>
            </w:pPr>
          </w:p>
        </w:tc>
        <w:tc>
          <w:tcPr>
            <w:tcW w:w="2835" w:type="dxa"/>
            <w:tcBorders>
              <w:top w:val="single" w:sz="4" w:space="0" w:color="auto"/>
              <w:left w:val="nil"/>
              <w:bottom w:val="nil"/>
              <w:right w:val="nil"/>
            </w:tcBorders>
            <w:vAlign w:val="bottom"/>
          </w:tcPr>
          <w:p w:rsidR="00A941A1" w:rsidRPr="00A16F64" w:rsidRDefault="00CB66AE">
            <w:pPr>
              <w:jc w:val="center"/>
              <w:rPr>
                <w:sz w:val="22"/>
                <w:szCs w:val="22"/>
              </w:rPr>
            </w:pPr>
            <w:r w:rsidRPr="00A16F64">
              <w:rPr>
                <w:sz w:val="22"/>
                <w:szCs w:val="22"/>
              </w:rPr>
              <w:t>А.А. Сиротенко</w:t>
            </w:r>
          </w:p>
        </w:tc>
        <w:tc>
          <w:tcPr>
            <w:tcW w:w="142" w:type="dxa"/>
            <w:tcBorders>
              <w:top w:val="single" w:sz="4" w:space="0" w:color="auto"/>
              <w:left w:val="nil"/>
              <w:bottom w:val="nil"/>
              <w:right w:val="single" w:sz="4" w:space="0" w:color="auto"/>
            </w:tcBorders>
            <w:vAlign w:val="bottom"/>
          </w:tcPr>
          <w:p w:rsidR="00A941A1" w:rsidRPr="00A16F64" w:rsidRDefault="00A941A1">
            <w:pPr>
              <w:rPr>
                <w:sz w:val="22"/>
                <w:szCs w:val="22"/>
              </w:rPr>
            </w:pPr>
          </w:p>
        </w:tc>
      </w:tr>
      <w:tr w:rsidR="00A941A1" w:rsidRPr="00A16F64" w:rsidTr="00B01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0"/>
        </w:trPr>
        <w:tc>
          <w:tcPr>
            <w:tcW w:w="4712" w:type="dxa"/>
            <w:gridSpan w:val="7"/>
            <w:tcBorders>
              <w:top w:val="nil"/>
              <w:left w:val="single" w:sz="4" w:space="0" w:color="auto"/>
              <w:bottom w:val="nil"/>
              <w:right w:val="nil"/>
            </w:tcBorders>
          </w:tcPr>
          <w:p w:rsidR="00A941A1" w:rsidRPr="00A16F64" w:rsidRDefault="00A941A1">
            <w:pPr>
              <w:ind w:left="57"/>
              <w:rPr>
                <w:sz w:val="22"/>
                <w:szCs w:val="22"/>
              </w:rPr>
            </w:pPr>
          </w:p>
        </w:tc>
        <w:tc>
          <w:tcPr>
            <w:tcW w:w="1984" w:type="dxa"/>
            <w:tcBorders>
              <w:top w:val="nil"/>
              <w:left w:val="nil"/>
              <w:bottom w:val="nil"/>
              <w:right w:val="nil"/>
            </w:tcBorders>
          </w:tcPr>
          <w:p w:rsidR="00A941A1" w:rsidRPr="00A16F64" w:rsidRDefault="00A941A1">
            <w:pPr>
              <w:jc w:val="center"/>
              <w:rPr>
                <w:sz w:val="22"/>
                <w:szCs w:val="22"/>
              </w:rPr>
            </w:pPr>
            <w:r w:rsidRPr="00A16F64">
              <w:rPr>
                <w:sz w:val="22"/>
                <w:szCs w:val="22"/>
              </w:rPr>
              <w:t>(подпись)</w:t>
            </w:r>
          </w:p>
        </w:tc>
        <w:tc>
          <w:tcPr>
            <w:tcW w:w="851" w:type="dxa"/>
            <w:tcBorders>
              <w:top w:val="nil"/>
              <w:left w:val="nil"/>
              <w:bottom w:val="nil"/>
              <w:right w:val="nil"/>
            </w:tcBorders>
          </w:tcPr>
          <w:p w:rsidR="00A941A1" w:rsidRPr="00A16F64" w:rsidRDefault="00A941A1">
            <w:pPr>
              <w:rPr>
                <w:sz w:val="22"/>
                <w:szCs w:val="22"/>
              </w:rPr>
            </w:pPr>
          </w:p>
        </w:tc>
        <w:tc>
          <w:tcPr>
            <w:tcW w:w="2835" w:type="dxa"/>
            <w:tcBorders>
              <w:top w:val="nil"/>
              <w:left w:val="nil"/>
              <w:bottom w:val="nil"/>
              <w:right w:val="nil"/>
            </w:tcBorders>
          </w:tcPr>
          <w:p w:rsidR="00A941A1" w:rsidRPr="00A16F64" w:rsidRDefault="00A941A1">
            <w:pPr>
              <w:rPr>
                <w:sz w:val="22"/>
                <w:szCs w:val="22"/>
              </w:rPr>
            </w:pPr>
          </w:p>
        </w:tc>
        <w:tc>
          <w:tcPr>
            <w:tcW w:w="142" w:type="dxa"/>
            <w:tcBorders>
              <w:top w:val="nil"/>
              <w:left w:val="nil"/>
              <w:bottom w:val="nil"/>
              <w:right w:val="single" w:sz="4" w:space="0" w:color="auto"/>
            </w:tcBorders>
          </w:tcPr>
          <w:p w:rsidR="00A941A1" w:rsidRPr="00A16F64" w:rsidRDefault="00A941A1">
            <w:pPr>
              <w:rPr>
                <w:sz w:val="22"/>
                <w:szCs w:val="22"/>
              </w:rPr>
            </w:pPr>
          </w:p>
        </w:tc>
      </w:tr>
      <w:tr w:rsidR="00A941A1" w:rsidRPr="00A16F64" w:rsidTr="00B01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93" w:type="dxa"/>
            <w:tcBorders>
              <w:top w:val="nil"/>
              <w:left w:val="single" w:sz="4" w:space="0" w:color="auto"/>
              <w:bottom w:val="nil"/>
              <w:right w:val="nil"/>
            </w:tcBorders>
            <w:vAlign w:val="bottom"/>
          </w:tcPr>
          <w:p w:rsidR="00A941A1" w:rsidRPr="00A16F64" w:rsidRDefault="00A941A1">
            <w:pPr>
              <w:ind w:left="57"/>
              <w:rPr>
                <w:sz w:val="22"/>
                <w:szCs w:val="22"/>
              </w:rPr>
            </w:pPr>
            <w:r w:rsidRPr="00A16F64">
              <w:rPr>
                <w:sz w:val="22"/>
                <w:szCs w:val="22"/>
              </w:rPr>
              <w:t xml:space="preserve">3.2. Дата </w:t>
            </w:r>
            <w:r w:rsidR="000C0591" w:rsidRPr="00A16F64">
              <w:rPr>
                <w:sz w:val="22"/>
                <w:szCs w:val="22"/>
              </w:rPr>
              <w:t xml:space="preserve">   </w:t>
            </w:r>
            <w:r w:rsidRPr="00A16F64">
              <w:rPr>
                <w:sz w:val="22"/>
                <w:szCs w:val="22"/>
              </w:rPr>
              <w:t>“</w:t>
            </w:r>
          </w:p>
        </w:tc>
        <w:tc>
          <w:tcPr>
            <w:tcW w:w="374" w:type="dxa"/>
            <w:tcBorders>
              <w:top w:val="nil"/>
              <w:left w:val="nil"/>
              <w:bottom w:val="single" w:sz="4" w:space="0" w:color="auto"/>
              <w:right w:val="nil"/>
            </w:tcBorders>
            <w:vAlign w:val="bottom"/>
          </w:tcPr>
          <w:p w:rsidR="00A941A1" w:rsidRPr="00A16F64" w:rsidRDefault="005B4254" w:rsidP="004F1F5F">
            <w:pPr>
              <w:jc w:val="center"/>
              <w:rPr>
                <w:sz w:val="22"/>
                <w:szCs w:val="22"/>
              </w:rPr>
            </w:pPr>
            <w:r w:rsidRPr="00A16F64">
              <w:rPr>
                <w:sz w:val="22"/>
                <w:szCs w:val="22"/>
              </w:rPr>
              <w:t>01</w:t>
            </w:r>
          </w:p>
        </w:tc>
        <w:tc>
          <w:tcPr>
            <w:tcW w:w="293" w:type="dxa"/>
            <w:tcBorders>
              <w:top w:val="nil"/>
              <w:left w:val="nil"/>
              <w:bottom w:val="nil"/>
              <w:right w:val="nil"/>
            </w:tcBorders>
            <w:vAlign w:val="bottom"/>
          </w:tcPr>
          <w:p w:rsidR="00A941A1" w:rsidRPr="00A16F64" w:rsidRDefault="00A941A1">
            <w:pPr>
              <w:rPr>
                <w:sz w:val="22"/>
                <w:szCs w:val="22"/>
              </w:rPr>
            </w:pPr>
            <w:r w:rsidRPr="00A16F64">
              <w:rPr>
                <w:sz w:val="22"/>
                <w:szCs w:val="22"/>
              </w:rPr>
              <w:t>”</w:t>
            </w:r>
          </w:p>
        </w:tc>
        <w:tc>
          <w:tcPr>
            <w:tcW w:w="1318" w:type="dxa"/>
            <w:tcBorders>
              <w:top w:val="nil"/>
              <w:left w:val="nil"/>
              <w:bottom w:val="single" w:sz="4" w:space="0" w:color="auto"/>
              <w:right w:val="nil"/>
            </w:tcBorders>
            <w:vAlign w:val="bottom"/>
          </w:tcPr>
          <w:p w:rsidR="00A941A1" w:rsidRPr="00A16F64" w:rsidRDefault="002B680B" w:rsidP="003C1D54">
            <w:pPr>
              <w:jc w:val="center"/>
              <w:rPr>
                <w:sz w:val="22"/>
                <w:szCs w:val="22"/>
              </w:rPr>
            </w:pPr>
            <w:r w:rsidRPr="00A16F64">
              <w:rPr>
                <w:sz w:val="22"/>
                <w:szCs w:val="22"/>
              </w:rPr>
              <w:t>апреля</w:t>
            </w:r>
          </w:p>
        </w:tc>
        <w:tc>
          <w:tcPr>
            <w:tcW w:w="415" w:type="dxa"/>
            <w:tcBorders>
              <w:top w:val="nil"/>
              <w:left w:val="nil"/>
              <w:bottom w:val="nil"/>
              <w:right w:val="nil"/>
            </w:tcBorders>
            <w:vAlign w:val="bottom"/>
          </w:tcPr>
          <w:p w:rsidR="00A941A1" w:rsidRPr="00A16F64" w:rsidRDefault="00A941A1">
            <w:pPr>
              <w:jc w:val="right"/>
              <w:rPr>
                <w:sz w:val="22"/>
                <w:szCs w:val="22"/>
              </w:rPr>
            </w:pPr>
            <w:r w:rsidRPr="00A16F64">
              <w:rPr>
                <w:sz w:val="22"/>
                <w:szCs w:val="22"/>
              </w:rPr>
              <w:t>20</w:t>
            </w:r>
          </w:p>
        </w:tc>
        <w:tc>
          <w:tcPr>
            <w:tcW w:w="307" w:type="dxa"/>
            <w:tcBorders>
              <w:top w:val="nil"/>
              <w:left w:val="nil"/>
              <w:bottom w:val="single" w:sz="4" w:space="0" w:color="auto"/>
              <w:right w:val="nil"/>
            </w:tcBorders>
            <w:vAlign w:val="bottom"/>
          </w:tcPr>
          <w:p w:rsidR="00A941A1" w:rsidRPr="00A16F64" w:rsidRDefault="00CB66AE" w:rsidP="002B680B">
            <w:pPr>
              <w:rPr>
                <w:sz w:val="22"/>
                <w:szCs w:val="22"/>
              </w:rPr>
            </w:pPr>
            <w:r w:rsidRPr="00A16F64">
              <w:rPr>
                <w:sz w:val="22"/>
                <w:szCs w:val="22"/>
              </w:rPr>
              <w:t>1</w:t>
            </w:r>
            <w:r w:rsidR="002B680B" w:rsidRPr="00A16F64">
              <w:rPr>
                <w:sz w:val="22"/>
                <w:szCs w:val="22"/>
              </w:rPr>
              <w:t>9</w:t>
            </w:r>
          </w:p>
        </w:tc>
        <w:tc>
          <w:tcPr>
            <w:tcW w:w="412" w:type="dxa"/>
            <w:tcBorders>
              <w:top w:val="nil"/>
              <w:left w:val="nil"/>
              <w:bottom w:val="nil"/>
              <w:right w:val="nil"/>
            </w:tcBorders>
            <w:vAlign w:val="bottom"/>
          </w:tcPr>
          <w:p w:rsidR="00A941A1" w:rsidRPr="00A16F64" w:rsidRDefault="00A941A1">
            <w:pPr>
              <w:ind w:left="57"/>
              <w:rPr>
                <w:sz w:val="22"/>
                <w:szCs w:val="22"/>
              </w:rPr>
            </w:pPr>
            <w:r w:rsidRPr="00A16F64">
              <w:rPr>
                <w:sz w:val="22"/>
                <w:szCs w:val="22"/>
              </w:rPr>
              <w:t>г.</w:t>
            </w:r>
          </w:p>
        </w:tc>
        <w:tc>
          <w:tcPr>
            <w:tcW w:w="1984" w:type="dxa"/>
            <w:tcBorders>
              <w:top w:val="nil"/>
              <w:left w:val="nil"/>
              <w:bottom w:val="nil"/>
              <w:right w:val="nil"/>
            </w:tcBorders>
            <w:vAlign w:val="bottom"/>
          </w:tcPr>
          <w:p w:rsidR="00A941A1" w:rsidRPr="00A16F64" w:rsidRDefault="00A941A1">
            <w:pPr>
              <w:jc w:val="center"/>
              <w:rPr>
                <w:sz w:val="22"/>
                <w:szCs w:val="22"/>
              </w:rPr>
            </w:pPr>
            <w:r w:rsidRPr="00A16F64">
              <w:rPr>
                <w:sz w:val="22"/>
                <w:szCs w:val="22"/>
              </w:rPr>
              <w:t>М.П.</w:t>
            </w:r>
          </w:p>
        </w:tc>
        <w:tc>
          <w:tcPr>
            <w:tcW w:w="3828" w:type="dxa"/>
            <w:gridSpan w:val="3"/>
            <w:tcBorders>
              <w:top w:val="nil"/>
              <w:left w:val="nil"/>
              <w:bottom w:val="nil"/>
              <w:right w:val="single" w:sz="4" w:space="0" w:color="auto"/>
            </w:tcBorders>
            <w:vAlign w:val="bottom"/>
          </w:tcPr>
          <w:p w:rsidR="00A941A1" w:rsidRPr="00A16F64" w:rsidRDefault="00A941A1">
            <w:pPr>
              <w:rPr>
                <w:sz w:val="22"/>
                <w:szCs w:val="22"/>
              </w:rPr>
            </w:pPr>
          </w:p>
        </w:tc>
      </w:tr>
      <w:tr w:rsidR="00A941A1" w:rsidRPr="00A16F64" w:rsidTr="00B01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12" w:type="dxa"/>
            <w:gridSpan w:val="7"/>
            <w:tcBorders>
              <w:top w:val="nil"/>
              <w:left w:val="single" w:sz="4" w:space="0" w:color="auto"/>
              <w:bottom w:val="single" w:sz="4" w:space="0" w:color="auto"/>
              <w:right w:val="nil"/>
            </w:tcBorders>
          </w:tcPr>
          <w:p w:rsidR="00A941A1" w:rsidRPr="00A16F64" w:rsidRDefault="00A941A1">
            <w:pPr>
              <w:ind w:left="57"/>
              <w:rPr>
                <w:sz w:val="22"/>
                <w:szCs w:val="22"/>
              </w:rPr>
            </w:pPr>
          </w:p>
        </w:tc>
        <w:tc>
          <w:tcPr>
            <w:tcW w:w="1984" w:type="dxa"/>
            <w:tcBorders>
              <w:top w:val="nil"/>
              <w:left w:val="nil"/>
              <w:bottom w:val="single" w:sz="4" w:space="0" w:color="auto"/>
              <w:right w:val="nil"/>
            </w:tcBorders>
          </w:tcPr>
          <w:p w:rsidR="00A941A1" w:rsidRPr="00A16F64" w:rsidRDefault="00A941A1">
            <w:pPr>
              <w:jc w:val="center"/>
              <w:rPr>
                <w:sz w:val="22"/>
                <w:szCs w:val="22"/>
              </w:rPr>
            </w:pPr>
          </w:p>
        </w:tc>
        <w:tc>
          <w:tcPr>
            <w:tcW w:w="3828" w:type="dxa"/>
            <w:gridSpan w:val="3"/>
            <w:tcBorders>
              <w:top w:val="nil"/>
              <w:left w:val="nil"/>
              <w:bottom w:val="single" w:sz="4" w:space="0" w:color="auto"/>
              <w:right w:val="single" w:sz="4" w:space="0" w:color="auto"/>
            </w:tcBorders>
          </w:tcPr>
          <w:p w:rsidR="00A941A1" w:rsidRPr="00A16F64" w:rsidRDefault="00A941A1">
            <w:pPr>
              <w:rPr>
                <w:sz w:val="22"/>
                <w:szCs w:val="22"/>
              </w:rPr>
            </w:pPr>
          </w:p>
        </w:tc>
      </w:tr>
    </w:tbl>
    <w:p w:rsidR="00A941A1" w:rsidRDefault="00A941A1">
      <w:pPr>
        <w:rPr>
          <w:sz w:val="24"/>
          <w:szCs w:val="24"/>
        </w:rPr>
      </w:pPr>
    </w:p>
    <w:sectPr w:rsidR="00A941A1" w:rsidSect="005E7CB3">
      <w:pgSz w:w="11906" w:h="16838"/>
      <w:pgMar w:top="567" w:right="567" w:bottom="426" w:left="1134" w:header="397" w:footer="28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8B7" w:rsidRDefault="007128B7">
      <w:r>
        <w:separator/>
      </w:r>
    </w:p>
  </w:endnote>
  <w:endnote w:type="continuationSeparator" w:id="0">
    <w:p w:rsidR="007128B7" w:rsidRDefault="0071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8B7" w:rsidRDefault="007128B7">
      <w:r>
        <w:separator/>
      </w:r>
    </w:p>
  </w:footnote>
  <w:footnote w:type="continuationSeparator" w:id="0">
    <w:p w:rsidR="007128B7" w:rsidRDefault="00712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1A1"/>
    <w:rsid w:val="00011C09"/>
    <w:rsid w:val="00012E5E"/>
    <w:rsid w:val="000437DB"/>
    <w:rsid w:val="0005249B"/>
    <w:rsid w:val="0005521E"/>
    <w:rsid w:val="00055C84"/>
    <w:rsid w:val="00077F5F"/>
    <w:rsid w:val="00082969"/>
    <w:rsid w:val="00082F2E"/>
    <w:rsid w:val="000A2DB8"/>
    <w:rsid w:val="000A3882"/>
    <w:rsid w:val="000B29FD"/>
    <w:rsid w:val="000C0591"/>
    <w:rsid w:val="000C09A9"/>
    <w:rsid w:val="00105EA5"/>
    <w:rsid w:val="001241AA"/>
    <w:rsid w:val="001839B0"/>
    <w:rsid w:val="00184991"/>
    <w:rsid w:val="001B5649"/>
    <w:rsid w:val="001D5C4A"/>
    <w:rsid w:val="001F3C59"/>
    <w:rsid w:val="001F7EEA"/>
    <w:rsid w:val="001F7FAF"/>
    <w:rsid w:val="00200B93"/>
    <w:rsid w:val="00212028"/>
    <w:rsid w:val="002158CE"/>
    <w:rsid w:val="0024224B"/>
    <w:rsid w:val="002672BD"/>
    <w:rsid w:val="0028466E"/>
    <w:rsid w:val="002878CD"/>
    <w:rsid w:val="00290CAD"/>
    <w:rsid w:val="00297048"/>
    <w:rsid w:val="002A7317"/>
    <w:rsid w:val="002B5F65"/>
    <w:rsid w:val="002B680B"/>
    <w:rsid w:val="002C2FD5"/>
    <w:rsid w:val="00302454"/>
    <w:rsid w:val="00307D68"/>
    <w:rsid w:val="00313AEC"/>
    <w:rsid w:val="00316D33"/>
    <w:rsid w:val="00330F52"/>
    <w:rsid w:val="00354A00"/>
    <w:rsid w:val="00370F66"/>
    <w:rsid w:val="003946BC"/>
    <w:rsid w:val="003A7833"/>
    <w:rsid w:val="003C1D54"/>
    <w:rsid w:val="004423A0"/>
    <w:rsid w:val="004557D5"/>
    <w:rsid w:val="00470A09"/>
    <w:rsid w:val="004B473C"/>
    <w:rsid w:val="004D2A18"/>
    <w:rsid w:val="004E05E0"/>
    <w:rsid w:val="004E36F2"/>
    <w:rsid w:val="004E3C13"/>
    <w:rsid w:val="004F1F5F"/>
    <w:rsid w:val="0050709B"/>
    <w:rsid w:val="005350FB"/>
    <w:rsid w:val="00543116"/>
    <w:rsid w:val="005603D9"/>
    <w:rsid w:val="00562DC5"/>
    <w:rsid w:val="00573EE7"/>
    <w:rsid w:val="00573FBF"/>
    <w:rsid w:val="005754B4"/>
    <w:rsid w:val="005800A0"/>
    <w:rsid w:val="00597FB1"/>
    <w:rsid w:val="005B19D0"/>
    <w:rsid w:val="005B4254"/>
    <w:rsid w:val="005D34BE"/>
    <w:rsid w:val="005E7CB3"/>
    <w:rsid w:val="005F3DFE"/>
    <w:rsid w:val="006012FB"/>
    <w:rsid w:val="00603B96"/>
    <w:rsid w:val="00617239"/>
    <w:rsid w:val="00632E76"/>
    <w:rsid w:val="00634540"/>
    <w:rsid w:val="00643584"/>
    <w:rsid w:val="006B17A4"/>
    <w:rsid w:val="007128B7"/>
    <w:rsid w:val="00751A8E"/>
    <w:rsid w:val="00761E2C"/>
    <w:rsid w:val="00770109"/>
    <w:rsid w:val="0077137E"/>
    <w:rsid w:val="00774860"/>
    <w:rsid w:val="007B0ADD"/>
    <w:rsid w:val="007E6CEC"/>
    <w:rsid w:val="00813FE1"/>
    <w:rsid w:val="008334C7"/>
    <w:rsid w:val="008378D5"/>
    <w:rsid w:val="00846532"/>
    <w:rsid w:val="00893C48"/>
    <w:rsid w:val="008B24FD"/>
    <w:rsid w:val="0091225B"/>
    <w:rsid w:val="0093580C"/>
    <w:rsid w:val="00952E0E"/>
    <w:rsid w:val="009556A2"/>
    <w:rsid w:val="00957D3C"/>
    <w:rsid w:val="009709F7"/>
    <w:rsid w:val="00980981"/>
    <w:rsid w:val="009A21BA"/>
    <w:rsid w:val="009F6369"/>
    <w:rsid w:val="00A13831"/>
    <w:rsid w:val="00A16F64"/>
    <w:rsid w:val="00A2193C"/>
    <w:rsid w:val="00A27EC5"/>
    <w:rsid w:val="00A941A1"/>
    <w:rsid w:val="00AE0DD0"/>
    <w:rsid w:val="00AE472F"/>
    <w:rsid w:val="00B01A1C"/>
    <w:rsid w:val="00B145AA"/>
    <w:rsid w:val="00B76554"/>
    <w:rsid w:val="00B84B3A"/>
    <w:rsid w:val="00C246CF"/>
    <w:rsid w:val="00C73C46"/>
    <w:rsid w:val="00CA32F9"/>
    <w:rsid w:val="00CA7FDA"/>
    <w:rsid w:val="00CB66AE"/>
    <w:rsid w:val="00D15EB2"/>
    <w:rsid w:val="00D248DF"/>
    <w:rsid w:val="00D3097D"/>
    <w:rsid w:val="00DE1DB8"/>
    <w:rsid w:val="00DE4156"/>
    <w:rsid w:val="00DF2EE0"/>
    <w:rsid w:val="00E6647F"/>
    <w:rsid w:val="00F33FC0"/>
    <w:rsid w:val="00F64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A8BA2F7-2135-4564-9332-320F4F3D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autoSpaceDE w:val="0"/>
      <w:autoSpaceDN w:val="0"/>
      <w:ind w:right="19771" w:firstLine="539"/>
      <w:jc w:val="both"/>
    </w:pPr>
    <w:rPr>
      <w:rFonts w:ascii="Courier New" w:hAnsi="Courier New" w:cs="Courier New"/>
      <w:lang w:val="en-US"/>
    </w:rPr>
  </w:style>
  <w:style w:type="paragraph" w:customStyle="1" w:styleId="ConsNonformat">
    <w:name w:val="ConsNonformat"/>
    <w:pPr>
      <w:widowControl w:val="0"/>
      <w:autoSpaceDE w:val="0"/>
      <w:autoSpaceDN w:val="0"/>
      <w:jc w:val="both"/>
    </w:pPr>
    <w:rPr>
      <w:rFonts w:ascii="Courier New" w:hAnsi="Courier New" w:cs="Courier New"/>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customStyle="1" w:styleId="SUBST">
    <w:name w:val="__SUBST"/>
    <w:uiPriority w:val="99"/>
    <w:rsid w:val="00CB66AE"/>
    <w:rPr>
      <w:b/>
      <w:i/>
      <w:sz w:val="22"/>
    </w:rPr>
  </w:style>
  <w:style w:type="character" w:styleId="a5">
    <w:name w:val="Hyperlink"/>
    <w:rsid w:val="00CB66AE"/>
    <w:rPr>
      <w:rFonts w:cs="Times New Roman"/>
      <w:color w:val="0000FF"/>
      <w:u w:val="single"/>
    </w:rPr>
  </w:style>
  <w:style w:type="paragraph" w:styleId="2">
    <w:name w:val="Body Text 2"/>
    <w:basedOn w:val="a"/>
    <w:rsid w:val="009709F7"/>
    <w:pPr>
      <w:autoSpaceDE/>
      <w:autoSpaceDN/>
      <w:spacing w:after="120" w:line="480" w:lineRule="auto"/>
    </w:pPr>
    <w:rPr>
      <w:sz w:val="24"/>
      <w:szCs w:val="24"/>
    </w:rPr>
  </w:style>
  <w:style w:type="paragraph" w:styleId="a6">
    <w:name w:val="Body Text Indent"/>
    <w:basedOn w:val="a"/>
    <w:link w:val="a7"/>
    <w:rsid w:val="002B680B"/>
    <w:pPr>
      <w:autoSpaceDE/>
      <w:autoSpaceDN/>
      <w:spacing w:after="120"/>
      <w:ind w:left="283"/>
    </w:pPr>
    <w:rPr>
      <w:sz w:val="24"/>
      <w:szCs w:val="24"/>
    </w:rPr>
  </w:style>
  <w:style w:type="character" w:customStyle="1" w:styleId="a7">
    <w:name w:val="Основной текст с отступом Знак"/>
    <w:basedOn w:val="a0"/>
    <w:link w:val="a6"/>
    <w:rsid w:val="002B68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9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osagro.ru/ori/item4157.ph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432</Words>
  <Characters>3469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Приложение 16</vt:lpstr>
    </vt:vector>
  </TitlesOfParts>
  <Company/>
  <LinksUpToDate>false</LinksUpToDate>
  <CharactersWithSpaces>3894</CharactersWithSpaces>
  <SharedDoc>false</SharedDoc>
  <HLinks>
    <vt:vector size="6" baseType="variant">
      <vt:variant>
        <vt:i4>1966150</vt:i4>
      </vt:variant>
      <vt:variant>
        <vt:i4>0</vt:i4>
      </vt:variant>
      <vt:variant>
        <vt:i4>0</vt:i4>
      </vt:variant>
      <vt:variant>
        <vt:i4>5</vt:i4>
      </vt:variant>
      <vt:variant>
        <vt:lpwstr>http://info.phosagro.biz/pages/page_401.php?id_page=246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16</dc:title>
  <dc:creator>Prof-SlejovaNA</dc:creator>
  <cp:lastModifiedBy>Шниткова Ирина Борисовна</cp:lastModifiedBy>
  <cp:revision>9</cp:revision>
  <cp:lastPrinted>2019-04-01T12:59:00Z</cp:lastPrinted>
  <dcterms:created xsi:type="dcterms:W3CDTF">2019-04-01T13:11:00Z</dcterms:created>
  <dcterms:modified xsi:type="dcterms:W3CDTF">2019-04-01T15:50:00Z</dcterms:modified>
</cp:coreProperties>
</file>