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B1FE" w14:textId="77777777" w:rsidR="00264B2C" w:rsidRPr="00751E4B" w:rsidRDefault="00264B2C" w:rsidP="00170F60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 xml:space="preserve">СООБЩЕНИЕ </w:t>
      </w:r>
    </w:p>
    <w:p w14:paraId="44AC2355" w14:textId="77777777" w:rsidR="000D0B37" w:rsidRPr="00751E4B" w:rsidRDefault="00170F60" w:rsidP="00170F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>о существенном факте о</w:t>
      </w:r>
      <w:r w:rsidR="000D0B37" w:rsidRPr="00751E4B">
        <w:rPr>
          <w:b/>
          <w:bCs/>
          <w:sz w:val="24"/>
          <w:szCs w:val="24"/>
        </w:rPr>
        <w:t xml:space="preserve"> совершении эмитентом или лицом, предоставившим</w:t>
      </w:r>
      <w:r w:rsidR="00DF21DE" w:rsidRPr="00751E4B">
        <w:rPr>
          <w:b/>
          <w:bCs/>
          <w:sz w:val="24"/>
          <w:szCs w:val="24"/>
        </w:rPr>
        <w:t xml:space="preserve"> </w:t>
      </w:r>
      <w:r w:rsidR="000D0B37" w:rsidRPr="00751E4B">
        <w:rPr>
          <w:b/>
          <w:bCs/>
          <w:sz w:val="24"/>
          <w:szCs w:val="24"/>
        </w:rPr>
        <w:t>обеспечение по облигациям эмитента, сделки, размер которой составляет 10 или более процентов балансовой стоимости активов эмитента или указанного лица на дату окончания отчетного периода (квартала, года), предшествующего совершению сделки, в отношении которого установленный истек срок представления бухгалтерской (финансовой</w:t>
      </w:r>
      <w:r w:rsidR="00677D76" w:rsidRPr="00751E4B">
        <w:rPr>
          <w:b/>
          <w:bCs/>
          <w:sz w:val="24"/>
          <w:szCs w:val="24"/>
        </w:rPr>
        <w:t>) отчетности (дату окончания последнего завершенного отчетного периода, предшествующего совершению сделки)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543"/>
      </w:tblGrid>
      <w:tr w:rsidR="00264B2C" w:rsidRPr="005B6697" w14:paraId="5CC20882" w14:textId="77777777">
        <w:tc>
          <w:tcPr>
            <w:tcW w:w="10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4475A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 Общие сведения</w:t>
            </w:r>
          </w:p>
        </w:tc>
      </w:tr>
      <w:tr w:rsidR="00DB62B7" w:rsidRPr="005B6697" w14:paraId="1285478E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1A4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BDEF5" w14:textId="77777777"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Публичное</w:t>
            </w:r>
            <w:r w:rsidR="00DB62B7" w:rsidRPr="005B6697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B62B7" w:rsidRPr="005B6697" w14:paraId="7921EB0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14E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85215" w14:textId="77777777"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</w:t>
            </w:r>
            <w:r w:rsidR="00DB62B7" w:rsidRPr="005B6697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B62B7" w:rsidRPr="005B6697" w14:paraId="7AF98F8B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868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D830F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B62B7" w:rsidRPr="005B6697" w14:paraId="7283744E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112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D6D4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B62B7" w:rsidRPr="005B6697" w14:paraId="081B133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6C1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9BAE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B62B7" w:rsidRPr="005B6697" w14:paraId="5ADFD15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E1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DDAC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B0369F" w:rsidRPr="005B6697" w14:paraId="3AD4FA62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035" w14:textId="77777777" w:rsidR="00B0369F" w:rsidRPr="005B6697" w:rsidRDefault="00B0369F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A907" w14:textId="77777777" w:rsidR="002A1538" w:rsidRPr="005B6697" w:rsidRDefault="003D0FB0" w:rsidP="002A1538">
            <w:pPr>
              <w:jc w:val="both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2A1538" w:rsidRPr="005B669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14:paraId="1EDA6157" w14:textId="77777777" w:rsidR="00B0369F" w:rsidRPr="005B6697" w:rsidRDefault="002A1538" w:rsidP="002A153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rStyle w:val="a3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B528EB" w:rsidRPr="005B6697" w14:paraId="38764A52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8C9" w14:textId="77777777" w:rsidR="00B528EB" w:rsidRPr="0098217D" w:rsidRDefault="00B528EB" w:rsidP="00B528EB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8217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0FEC" w14:textId="77777777" w:rsidR="00B528EB" w:rsidRPr="0098217D" w:rsidRDefault="00B528EB" w:rsidP="00B528EB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836C6D3" w14:textId="0AC51FE3" w:rsidR="00B528EB" w:rsidRPr="0098217D" w:rsidRDefault="00420A16" w:rsidP="00B528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 мая</w:t>
            </w:r>
            <w:r w:rsidR="00DC3334" w:rsidRPr="00DA5473">
              <w:rPr>
                <w:b/>
                <w:i/>
                <w:sz w:val="22"/>
                <w:szCs w:val="22"/>
              </w:rPr>
              <w:t xml:space="preserve"> 2020</w:t>
            </w:r>
            <w:r w:rsidR="00B528EB" w:rsidRPr="00DA5473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14:paraId="2D0DF213" w14:textId="77777777" w:rsidR="00264B2C" w:rsidRPr="005B6697" w:rsidRDefault="00264B2C">
      <w:pPr>
        <w:autoSpaceDE w:val="0"/>
        <w:autoSpaceDN w:val="0"/>
        <w:rPr>
          <w:sz w:val="22"/>
          <w:szCs w:val="22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2693"/>
        <w:gridCol w:w="709"/>
      </w:tblGrid>
      <w:tr w:rsidR="00264B2C" w:rsidRPr="005B6697" w14:paraId="7A53DFD1" w14:textId="7777777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C84EB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 Содержание сообщения</w:t>
            </w:r>
          </w:p>
        </w:tc>
      </w:tr>
      <w:tr w:rsidR="00446F79" w:rsidRPr="005B6697" w14:paraId="7C179871" w14:textId="77777777">
        <w:trPr>
          <w:trHeight w:val="346"/>
        </w:trPr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EBE5AD2" w14:textId="77777777" w:rsidR="00677D76" w:rsidRPr="005B6697" w:rsidRDefault="00DF21DE" w:rsidP="00677D76">
            <w:pPr>
              <w:autoSpaceDE w:val="0"/>
              <w:autoSpaceDN w:val="0"/>
              <w:ind w:left="142" w:right="113"/>
              <w:jc w:val="center"/>
              <w:rPr>
                <w:sz w:val="22"/>
                <w:szCs w:val="22"/>
              </w:rPr>
            </w:pPr>
            <w:r w:rsidRPr="005B6697">
              <w:rPr>
                <w:b/>
                <w:bCs/>
                <w:sz w:val="22"/>
                <w:szCs w:val="22"/>
              </w:rPr>
              <w:t>О</w:t>
            </w:r>
            <w:r w:rsidR="000D0B37" w:rsidRPr="005B6697">
              <w:rPr>
                <w:b/>
                <w:bCs/>
                <w:sz w:val="22"/>
                <w:szCs w:val="22"/>
              </w:rPr>
              <w:t xml:space="preserve"> совершении эмитентом сделки, размер которой составляет 10 или более процентов балансовой стоимости активов эмитента </w:t>
            </w:r>
            <w:r w:rsidR="008F145A" w:rsidRPr="005B6697">
              <w:rPr>
                <w:b/>
                <w:bCs/>
                <w:sz w:val="22"/>
                <w:szCs w:val="22"/>
              </w:rPr>
              <w:t xml:space="preserve">на </w:t>
            </w:r>
            <w:r w:rsidR="00677D76" w:rsidRPr="005B6697">
              <w:rPr>
                <w:b/>
                <w:bCs/>
                <w:sz w:val="22"/>
                <w:szCs w:val="22"/>
              </w:rPr>
              <w:t>дату окончания последнего завершенного отчетного периода, предшествующего совершению сделки</w:t>
            </w:r>
          </w:p>
          <w:p w14:paraId="67AF1AE7" w14:textId="77777777" w:rsidR="000D0B37" w:rsidRPr="00AA54C1" w:rsidRDefault="00105D8A" w:rsidP="00575A66">
            <w:pPr>
              <w:tabs>
                <w:tab w:val="left" w:pos="567"/>
                <w:tab w:val="left" w:pos="851"/>
              </w:tabs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9398B" w:rsidRPr="00105D8A">
              <w:rPr>
                <w:sz w:val="22"/>
                <w:szCs w:val="22"/>
              </w:rPr>
              <w:t>В</w:t>
            </w:r>
            <w:r w:rsidR="00635D49" w:rsidRPr="00105D8A">
              <w:rPr>
                <w:sz w:val="22"/>
                <w:szCs w:val="22"/>
              </w:rPr>
              <w:t>ид организации,</w:t>
            </w:r>
            <w:r w:rsidR="00635D49">
              <w:rPr>
                <w:sz w:val="22"/>
              </w:rPr>
              <w:t xml:space="preserve"> которая совершила существенную сделку (эмитент; лицо, предоставившее обеспечение по облигациям эмитента)</w:t>
            </w:r>
            <w:r w:rsidR="00AF1EF1" w:rsidRPr="00AA54C1">
              <w:rPr>
                <w:sz w:val="22"/>
                <w:szCs w:val="22"/>
              </w:rPr>
              <w:t xml:space="preserve">: </w:t>
            </w:r>
            <w:r w:rsidR="00AF1EF1" w:rsidRPr="00AA54C1">
              <w:rPr>
                <w:b/>
                <w:i/>
                <w:sz w:val="22"/>
                <w:szCs w:val="22"/>
              </w:rPr>
              <w:t>эмитент.</w:t>
            </w:r>
          </w:p>
          <w:p w14:paraId="43A8106C" w14:textId="40F3034E" w:rsidR="007B0278" w:rsidRPr="006A36E2" w:rsidRDefault="00E64DD6" w:rsidP="00AC5506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2</w:t>
            </w:r>
            <w:r w:rsidRPr="00AA54C1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К</w:t>
            </w:r>
            <w:r w:rsidR="00635D49">
              <w:rPr>
                <w:sz w:val="22"/>
              </w:rPr>
              <w:t xml:space="preserve"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</w:t>
            </w:r>
            <w:r w:rsidR="00635D49" w:rsidRPr="003D0FB0">
              <w:rPr>
                <w:sz w:val="22"/>
              </w:rPr>
              <w:t>заинтересованность)</w:t>
            </w:r>
            <w:r w:rsidR="007D4046" w:rsidRPr="003D0FB0">
              <w:rPr>
                <w:sz w:val="22"/>
                <w:szCs w:val="22"/>
              </w:rPr>
              <w:t>:</w:t>
            </w:r>
            <w:r w:rsidR="00C30C32" w:rsidRPr="003D0FB0">
              <w:rPr>
                <w:sz w:val="22"/>
                <w:szCs w:val="22"/>
              </w:rPr>
              <w:t xml:space="preserve"> </w:t>
            </w:r>
            <w:r w:rsidR="00420A16" w:rsidRPr="003D0FB0">
              <w:rPr>
                <w:b/>
                <w:i/>
                <w:sz w:val="22"/>
                <w:szCs w:val="22"/>
              </w:rPr>
              <w:t>существенная сделка, не являющаяся крупной</w:t>
            </w:r>
            <w:r w:rsidR="003F2BCF" w:rsidRPr="003D0FB0">
              <w:rPr>
                <w:b/>
                <w:i/>
                <w:sz w:val="22"/>
                <w:szCs w:val="22"/>
              </w:rPr>
              <w:t>.</w:t>
            </w:r>
          </w:p>
          <w:p w14:paraId="218AC66B" w14:textId="752706AE" w:rsidR="00EA1637" w:rsidRPr="00AA54C1" w:rsidRDefault="007D4046" w:rsidP="005F4541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4E299D">
              <w:rPr>
                <w:sz w:val="22"/>
                <w:szCs w:val="22"/>
              </w:rPr>
              <w:t>2.</w:t>
            </w:r>
            <w:r w:rsidR="00607151" w:rsidRPr="004E299D">
              <w:rPr>
                <w:sz w:val="22"/>
                <w:szCs w:val="22"/>
              </w:rPr>
              <w:t>3</w:t>
            </w:r>
            <w:r w:rsidRPr="004E299D">
              <w:rPr>
                <w:sz w:val="22"/>
                <w:szCs w:val="22"/>
              </w:rPr>
              <w:t xml:space="preserve">. Вид и предмет сделки: </w:t>
            </w:r>
            <w:r w:rsidR="005F6D6D" w:rsidRPr="004E299D">
              <w:rPr>
                <w:b/>
                <w:i/>
                <w:sz w:val="22"/>
                <w:szCs w:val="22"/>
              </w:rPr>
              <w:t>договор займа.</w:t>
            </w:r>
          </w:p>
          <w:p w14:paraId="1B8E31B1" w14:textId="510CF54F" w:rsidR="00D75AD4" w:rsidRPr="005B6697" w:rsidRDefault="00E64DD6" w:rsidP="00D75AD4">
            <w:pPr>
              <w:pStyle w:val="1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4</w:t>
            </w:r>
            <w:r w:rsidRPr="00AA54C1">
              <w:rPr>
                <w:sz w:val="22"/>
                <w:szCs w:val="22"/>
              </w:rPr>
              <w:t>.</w:t>
            </w:r>
            <w:r w:rsidR="007D4046" w:rsidRPr="00AA54C1">
              <w:rPr>
                <w:sz w:val="22"/>
                <w:szCs w:val="22"/>
              </w:rPr>
              <w:t xml:space="preserve">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E1D28" w:rsidRPr="002A4C4E">
              <w:rPr>
                <w:sz w:val="22"/>
                <w:szCs w:val="22"/>
              </w:rPr>
              <w:t>:</w:t>
            </w:r>
            <w:r w:rsidR="00936FE8" w:rsidRPr="002A4C4E">
              <w:rPr>
                <w:b/>
                <w:i/>
                <w:sz w:val="22"/>
                <w:szCs w:val="22"/>
              </w:rPr>
              <w:t xml:space="preserve"> </w:t>
            </w:r>
            <w:r w:rsidR="00D75AD4" w:rsidRPr="0098217D">
              <w:rPr>
                <w:b/>
                <w:i/>
                <w:sz w:val="22"/>
                <w:szCs w:val="22"/>
              </w:rPr>
              <w:t xml:space="preserve">Займодавец </w:t>
            </w:r>
            <w:r w:rsidR="00D75AD4">
              <w:rPr>
                <w:b/>
                <w:i/>
                <w:sz w:val="22"/>
                <w:szCs w:val="22"/>
              </w:rPr>
              <w:t>обязуется переда</w:t>
            </w:r>
            <w:r w:rsidR="00D75AD4" w:rsidRPr="0098217D">
              <w:rPr>
                <w:b/>
                <w:i/>
                <w:sz w:val="22"/>
                <w:szCs w:val="22"/>
              </w:rPr>
              <w:t>т</w:t>
            </w:r>
            <w:r w:rsidR="00D75AD4">
              <w:rPr>
                <w:b/>
                <w:i/>
                <w:sz w:val="22"/>
                <w:szCs w:val="22"/>
              </w:rPr>
              <w:t>ь в собственность</w:t>
            </w:r>
            <w:r w:rsidR="00D75AD4" w:rsidRPr="0098217D">
              <w:rPr>
                <w:b/>
                <w:i/>
                <w:sz w:val="22"/>
                <w:szCs w:val="22"/>
              </w:rPr>
              <w:t xml:space="preserve"> Заемщику денежные средства, а Заемщик обязуется вернуть их </w:t>
            </w:r>
            <w:r w:rsidR="00D75AD4">
              <w:rPr>
                <w:b/>
                <w:i/>
                <w:sz w:val="22"/>
                <w:szCs w:val="22"/>
              </w:rPr>
              <w:t xml:space="preserve">вместе </w:t>
            </w:r>
            <w:r w:rsidR="00D75AD4" w:rsidRPr="0098217D">
              <w:rPr>
                <w:b/>
                <w:i/>
                <w:sz w:val="22"/>
                <w:szCs w:val="22"/>
              </w:rPr>
              <w:t xml:space="preserve">с </w:t>
            </w:r>
            <w:r w:rsidR="00D75AD4">
              <w:rPr>
                <w:b/>
                <w:i/>
                <w:sz w:val="22"/>
                <w:szCs w:val="22"/>
              </w:rPr>
              <w:t xml:space="preserve">причитающимися </w:t>
            </w:r>
            <w:r w:rsidR="00D75AD4" w:rsidRPr="0098217D">
              <w:rPr>
                <w:b/>
                <w:i/>
                <w:sz w:val="22"/>
                <w:szCs w:val="22"/>
              </w:rPr>
              <w:t>процентами.</w:t>
            </w:r>
            <w:r w:rsidR="00D75AD4" w:rsidRPr="005B6697">
              <w:rPr>
                <w:b/>
                <w:i/>
                <w:sz w:val="22"/>
                <w:szCs w:val="22"/>
              </w:rPr>
              <w:t xml:space="preserve"> </w:t>
            </w:r>
          </w:p>
          <w:p w14:paraId="3FCC0504" w14:textId="41D1754F" w:rsidR="007D4046" w:rsidRPr="009A1EE7" w:rsidRDefault="007D4046" w:rsidP="00AC5506">
            <w:pPr>
              <w:ind w:left="142" w:right="113"/>
              <w:jc w:val="both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607151" w:rsidRPr="005B6697">
              <w:rPr>
                <w:sz w:val="22"/>
                <w:szCs w:val="22"/>
              </w:rPr>
              <w:t>5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 xml:space="preserve"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</w:t>
            </w:r>
            <w:r w:rsidR="00635D49" w:rsidRPr="009A1EE7">
              <w:rPr>
                <w:sz w:val="22"/>
              </w:rPr>
              <w:t>совершило сделку</w:t>
            </w:r>
            <w:r w:rsidRPr="009A1EE7">
              <w:rPr>
                <w:sz w:val="22"/>
                <w:szCs w:val="22"/>
              </w:rPr>
              <w:t>:</w:t>
            </w:r>
          </w:p>
          <w:p w14:paraId="10E94E7C" w14:textId="38031B53" w:rsidR="005F4541" w:rsidRPr="009A1EE7" w:rsidRDefault="00936FE8" w:rsidP="005F45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9A1EE7">
              <w:rPr>
                <w:sz w:val="22"/>
                <w:szCs w:val="22"/>
              </w:rPr>
              <w:t xml:space="preserve">Срок исполнения обязательств по </w:t>
            </w:r>
            <w:r w:rsidRPr="003D0FB0">
              <w:rPr>
                <w:sz w:val="22"/>
                <w:szCs w:val="22"/>
              </w:rPr>
              <w:t>сделке:</w:t>
            </w:r>
            <w:r w:rsidRPr="003D0FB0">
              <w:rPr>
                <w:i/>
                <w:sz w:val="22"/>
                <w:szCs w:val="22"/>
              </w:rPr>
              <w:t xml:space="preserve"> </w:t>
            </w:r>
            <w:r w:rsidR="009A1EE7" w:rsidRPr="003D0FB0">
              <w:rPr>
                <w:b/>
                <w:i/>
                <w:sz w:val="22"/>
              </w:rPr>
              <w:t>20 апреля 2023 г.</w:t>
            </w:r>
          </w:p>
          <w:p w14:paraId="6174B154" w14:textId="7FFB305B" w:rsidR="005F4541" w:rsidRPr="00AE644B" w:rsidRDefault="00936FE8" w:rsidP="005F45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6C30D9">
              <w:rPr>
                <w:sz w:val="22"/>
                <w:szCs w:val="22"/>
              </w:rPr>
              <w:t>Стороны</w:t>
            </w:r>
            <w:r w:rsidRPr="00AE644B">
              <w:rPr>
                <w:sz w:val="22"/>
                <w:szCs w:val="22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и</w:t>
            </w:r>
            <w:r w:rsidR="004D4A3F" w:rsidRPr="00AE644B">
              <w:rPr>
                <w:sz w:val="22"/>
                <w:szCs w:val="22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выгодоприобретатели</w:t>
            </w:r>
            <w:r w:rsidR="004D4A3F" w:rsidRPr="00AE644B">
              <w:rPr>
                <w:sz w:val="22"/>
                <w:szCs w:val="22"/>
              </w:rPr>
              <w:t xml:space="preserve"> </w:t>
            </w:r>
            <w:r w:rsidRPr="006C30D9">
              <w:rPr>
                <w:sz w:val="22"/>
                <w:szCs w:val="22"/>
              </w:rPr>
              <w:t>по</w:t>
            </w:r>
            <w:r w:rsidRPr="00AE644B">
              <w:rPr>
                <w:sz w:val="22"/>
                <w:szCs w:val="22"/>
              </w:rPr>
              <w:t xml:space="preserve"> </w:t>
            </w:r>
            <w:r w:rsidRPr="006C30D9">
              <w:rPr>
                <w:sz w:val="22"/>
                <w:szCs w:val="22"/>
              </w:rPr>
              <w:t>сделке</w:t>
            </w:r>
            <w:r w:rsidRPr="00AE644B">
              <w:rPr>
                <w:sz w:val="22"/>
                <w:szCs w:val="22"/>
              </w:rPr>
              <w:t>:</w:t>
            </w:r>
            <w:r w:rsidR="005F4541" w:rsidRPr="00AE644B">
              <w:rPr>
                <w:b/>
                <w:i/>
                <w:sz w:val="22"/>
                <w:szCs w:val="22"/>
              </w:rPr>
              <w:t xml:space="preserve"> </w:t>
            </w:r>
            <w:r w:rsidR="005F6D6D" w:rsidRPr="00342F32">
              <w:rPr>
                <w:b/>
                <w:i/>
                <w:sz w:val="22"/>
                <w:szCs w:val="22"/>
              </w:rPr>
              <w:t>П</w:t>
            </w:r>
            <w:r w:rsidR="005F6D6D" w:rsidRPr="00342F32">
              <w:rPr>
                <w:b/>
                <w:bCs/>
                <w:i/>
                <w:sz w:val="22"/>
                <w:szCs w:val="22"/>
              </w:rPr>
              <w:t>АО</w:t>
            </w:r>
            <w:r w:rsidR="005F6D6D" w:rsidRPr="00AE644B">
              <w:rPr>
                <w:b/>
                <w:bCs/>
                <w:i/>
                <w:sz w:val="22"/>
                <w:szCs w:val="22"/>
              </w:rPr>
              <w:t xml:space="preserve"> «</w:t>
            </w:r>
            <w:r w:rsidR="005F6D6D" w:rsidRPr="00342F32">
              <w:rPr>
                <w:b/>
                <w:bCs/>
                <w:i/>
                <w:sz w:val="22"/>
                <w:szCs w:val="22"/>
              </w:rPr>
              <w:t>ФосАгро</w:t>
            </w:r>
            <w:r w:rsidR="005F6D6D" w:rsidRPr="00AE644B">
              <w:rPr>
                <w:b/>
                <w:bCs/>
                <w:i/>
                <w:sz w:val="22"/>
                <w:szCs w:val="22"/>
              </w:rPr>
              <w:t>»,</w:t>
            </w:r>
            <w:r w:rsidR="005F6D6D" w:rsidRPr="00AE644B">
              <w:rPr>
                <w:sz w:val="22"/>
                <w:szCs w:val="22"/>
              </w:rPr>
              <w:t xml:space="preserve"> </w:t>
            </w:r>
            <w:r w:rsidR="00AE644B">
              <w:rPr>
                <w:b/>
                <w:i/>
                <w:sz w:val="22"/>
                <w:szCs w:val="22"/>
              </w:rPr>
              <w:t>АО «Апатит»</w:t>
            </w:r>
          </w:p>
          <w:p w14:paraId="54C3CBE4" w14:textId="797695CC" w:rsidR="00912396" w:rsidRPr="00DE6FB7" w:rsidRDefault="00936FE8" w:rsidP="00912396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67473">
              <w:rPr>
                <w:sz w:val="22"/>
                <w:szCs w:val="22"/>
              </w:rPr>
              <w:t>Размер сделки в денежном выражении и в процентах от стоимости активов эмитента:</w:t>
            </w:r>
            <w:r w:rsidRPr="00867473">
              <w:rPr>
                <w:b/>
                <w:i/>
                <w:sz w:val="22"/>
                <w:szCs w:val="22"/>
              </w:rPr>
              <w:t xml:space="preserve"> </w:t>
            </w:r>
            <w:r w:rsidR="002224FF">
              <w:rPr>
                <w:b/>
                <w:i/>
                <w:sz w:val="22"/>
                <w:szCs w:val="22"/>
              </w:rPr>
              <w:t xml:space="preserve">ориентировочный размер сделки составляет </w:t>
            </w:r>
            <w:r w:rsidR="003D1BFE" w:rsidRPr="003D1BFE">
              <w:rPr>
                <w:b/>
                <w:i/>
                <w:sz w:val="22"/>
                <w:szCs w:val="22"/>
              </w:rPr>
              <w:t>29 292 176 020</w:t>
            </w:r>
            <w:r w:rsidR="003D1BFE" w:rsidRPr="00C26DF3">
              <w:rPr>
                <w:b/>
                <w:i/>
                <w:sz w:val="22"/>
                <w:szCs w:val="22"/>
              </w:rPr>
              <w:t xml:space="preserve"> </w:t>
            </w:r>
            <w:r w:rsidR="005F6D6D" w:rsidRPr="00C26DF3">
              <w:rPr>
                <w:b/>
                <w:i/>
                <w:sz w:val="22"/>
                <w:szCs w:val="22"/>
              </w:rPr>
              <w:t>(</w:t>
            </w:r>
            <w:r w:rsidR="002224FF">
              <w:rPr>
                <w:b/>
                <w:i/>
                <w:sz w:val="22"/>
                <w:szCs w:val="22"/>
              </w:rPr>
              <w:t xml:space="preserve">двадцать </w:t>
            </w:r>
            <w:r w:rsidR="003D1BFE">
              <w:rPr>
                <w:b/>
                <w:i/>
                <w:sz w:val="22"/>
                <w:szCs w:val="22"/>
              </w:rPr>
              <w:t>девять миллиардов двести девяносто два миллиона сто семьдесят шесть тысяч двадцать) рублей 90 коп.</w:t>
            </w:r>
            <w:r w:rsidR="00BF28CD">
              <w:rPr>
                <w:b/>
                <w:i/>
                <w:sz w:val="22"/>
                <w:szCs w:val="22"/>
              </w:rPr>
              <w:t xml:space="preserve">, что составляет </w:t>
            </w:r>
            <w:r w:rsidR="00BF28CD" w:rsidRPr="00BF28CD">
              <w:rPr>
                <w:b/>
                <w:i/>
                <w:sz w:val="22"/>
                <w:szCs w:val="22"/>
              </w:rPr>
              <w:t>24.01%</w:t>
            </w:r>
            <w:r w:rsidR="003D1BFE">
              <w:rPr>
                <w:b/>
                <w:i/>
                <w:sz w:val="22"/>
                <w:szCs w:val="22"/>
              </w:rPr>
              <w:t xml:space="preserve"> </w:t>
            </w:r>
            <w:r w:rsidR="005F6D6D" w:rsidRPr="00C26DF3">
              <w:rPr>
                <w:b/>
                <w:i/>
                <w:sz w:val="22"/>
                <w:szCs w:val="22"/>
              </w:rPr>
              <w:t>от стоимости активов эмитента.</w:t>
            </w:r>
          </w:p>
          <w:p w14:paraId="7671C4A3" w14:textId="327A85E5" w:rsidR="008F7243" w:rsidRPr="005B6697" w:rsidRDefault="007D4046" w:rsidP="00A3036B">
            <w:pPr>
              <w:autoSpaceDE w:val="0"/>
              <w:autoSpaceDN w:val="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E6FB7">
              <w:rPr>
                <w:sz w:val="22"/>
                <w:szCs w:val="22"/>
              </w:rPr>
              <w:t>2.</w:t>
            </w:r>
            <w:r w:rsidR="00607151" w:rsidRPr="00DE6FB7">
              <w:rPr>
                <w:sz w:val="22"/>
                <w:szCs w:val="22"/>
              </w:rPr>
              <w:t>6</w:t>
            </w:r>
            <w:r w:rsidRPr="00DE6FB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</w:t>
            </w:r>
            <w:r w:rsidR="00635D49" w:rsidRPr="00F11979">
              <w:rPr>
                <w:sz w:val="22"/>
              </w:rPr>
              <w:t>)</w:t>
            </w:r>
            <w:r w:rsidRPr="00F11979">
              <w:rPr>
                <w:sz w:val="22"/>
                <w:szCs w:val="22"/>
              </w:rPr>
              <w:t>:</w:t>
            </w:r>
            <w:r w:rsidR="00846811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>стоимость активов</w:t>
            </w:r>
            <w:r w:rsidR="00B80988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на </w:t>
            </w:r>
            <w:r w:rsidR="00C0087B">
              <w:rPr>
                <w:b/>
                <w:i/>
                <w:sz w:val="22"/>
                <w:szCs w:val="22"/>
              </w:rPr>
              <w:t xml:space="preserve">31 марта 2020 г.- </w:t>
            </w:r>
            <w:r w:rsidR="00C0087B" w:rsidRPr="00C0087B">
              <w:rPr>
                <w:b/>
                <w:i/>
                <w:sz w:val="22"/>
                <w:szCs w:val="22"/>
              </w:rPr>
              <w:t>122 015</w:t>
            </w:r>
            <w:r w:rsidR="00C0087B">
              <w:rPr>
                <w:b/>
                <w:i/>
                <w:sz w:val="22"/>
                <w:szCs w:val="22"/>
              </w:rPr>
              <w:t xml:space="preserve"> 690 </w:t>
            </w:r>
            <w:r w:rsidR="00C0087B" w:rsidRPr="00C0087B">
              <w:rPr>
                <w:b/>
                <w:i/>
                <w:sz w:val="22"/>
                <w:szCs w:val="22"/>
              </w:rPr>
              <w:t xml:space="preserve"> тыс. руб.</w:t>
            </w:r>
          </w:p>
          <w:p w14:paraId="0591A71E" w14:textId="05B99F78" w:rsidR="007D4046" w:rsidRPr="005B6697" w:rsidRDefault="007D4046" w:rsidP="00062FEE">
            <w:pPr>
              <w:autoSpaceDE w:val="0"/>
              <w:autoSpaceDN w:val="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0610D7" w:rsidRPr="005B6697">
              <w:rPr>
                <w:sz w:val="22"/>
                <w:szCs w:val="22"/>
              </w:rPr>
              <w:t>7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Д</w:t>
            </w:r>
            <w:r w:rsidR="00635D49">
              <w:rPr>
                <w:sz w:val="22"/>
              </w:rPr>
              <w:t xml:space="preserve">ата совершения сделки (заключения </w:t>
            </w:r>
            <w:r w:rsidR="00635D49" w:rsidRPr="00CF1D13">
              <w:rPr>
                <w:sz w:val="22"/>
              </w:rPr>
              <w:t>договора)</w:t>
            </w:r>
            <w:r w:rsidRPr="00CF1D13">
              <w:rPr>
                <w:sz w:val="22"/>
                <w:szCs w:val="22"/>
              </w:rPr>
              <w:t>:</w:t>
            </w:r>
            <w:r w:rsidR="005A11C3" w:rsidRPr="00CF1D13">
              <w:rPr>
                <w:b/>
                <w:i/>
                <w:sz w:val="22"/>
                <w:szCs w:val="22"/>
              </w:rPr>
              <w:t xml:space="preserve"> </w:t>
            </w:r>
            <w:r w:rsidR="00C0087B">
              <w:rPr>
                <w:b/>
                <w:i/>
                <w:sz w:val="22"/>
                <w:szCs w:val="22"/>
              </w:rPr>
              <w:t>18 мая</w:t>
            </w:r>
            <w:r w:rsidR="007870CB" w:rsidRPr="00CF1D13">
              <w:rPr>
                <w:b/>
                <w:i/>
                <w:sz w:val="22"/>
                <w:szCs w:val="22"/>
              </w:rPr>
              <w:t xml:space="preserve"> 2020</w:t>
            </w:r>
            <w:r w:rsidR="00936FE8" w:rsidRPr="00CF1D13">
              <w:rPr>
                <w:b/>
                <w:i/>
                <w:sz w:val="22"/>
                <w:szCs w:val="22"/>
              </w:rPr>
              <w:t xml:space="preserve"> года.</w:t>
            </w:r>
          </w:p>
          <w:p w14:paraId="3FC4CDCA" w14:textId="656D3D30" w:rsidR="00446F79" w:rsidRPr="0009398B" w:rsidRDefault="007D4046" w:rsidP="002224F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  <w:r w:rsidRPr="00566441">
              <w:rPr>
                <w:rFonts w:ascii="Times New Roman" w:hAnsi="Times New Roman" w:cs="Times New Roman"/>
                <w:sz w:val="22"/>
              </w:rPr>
              <w:t>2.</w:t>
            </w:r>
            <w:r w:rsidR="000610D7" w:rsidRPr="00566441">
              <w:rPr>
                <w:rFonts w:ascii="Times New Roman" w:hAnsi="Times New Roman" w:cs="Times New Roman"/>
                <w:sz w:val="22"/>
              </w:rPr>
              <w:t>8</w:t>
            </w:r>
            <w:r w:rsidRPr="0056644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09398B">
              <w:rPr>
                <w:rFonts w:ascii="Times New Roman" w:hAnsi="Times New Roman" w:cs="Times New Roman"/>
                <w:sz w:val="22"/>
              </w:rPr>
              <w:t>С</w:t>
            </w:r>
            <w:r w:rsidR="00635D49" w:rsidRPr="00566441">
              <w:rPr>
                <w:rFonts w:ascii="Times New Roman" w:hAnsi="Times New Roman" w:cs="Times New Roman"/>
                <w:sz w:val="22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Pr="00847F74">
              <w:rPr>
                <w:rFonts w:ascii="Times New Roman" w:hAnsi="Times New Roman" w:cs="Times New Roman"/>
                <w:sz w:val="22"/>
              </w:rPr>
              <w:t>:</w:t>
            </w:r>
            <w:r w:rsidR="002A1538" w:rsidRPr="005B6697">
              <w:rPr>
                <w:sz w:val="22"/>
                <w:szCs w:val="22"/>
              </w:rPr>
              <w:t xml:space="preserve"> </w:t>
            </w:r>
            <w:r w:rsidR="003D0FB0" w:rsidRPr="004E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решение коллегиального орган</w:t>
            </w:r>
            <w:r w:rsidR="003D0F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3D0FB0" w:rsidRPr="004E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управления эмитента о согласии на совершение сделки не требовалось и не принималось</w:t>
            </w:r>
            <w:r w:rsidR="003D0F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64B2C" w:rsidRPr="005B6697" w14:paraId="2A176460" w14:textId="7777777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33FE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 xml:space="preserve"> Подпись</w:t>
            </w:r>
          </w:p>
        </w:tc>
      </w:tr>
      <w:tr w:rsidR="00DB62B7" w:rsidRPr="005B6697" w14:paraId="406C488D" w14:textId="7777777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5E728D31" w14:textId="77777777"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3.1. Заместитель Генерального директора</w:t>
            </w:r>
          </w:p>
          <w:p w14:paraId="6B9F743A" w14:textId="77777777"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ПАО «ФосАгро» по корпоративным и правовым вопросам</w:t>
            </w:r>
          </w:p>
          <w:p w14:paraId="5F3AD6B2" w14:textId="77777777" w:rsidR="00DB62B7" w:rsidRPr="00B07805" w:rsidRDefault="00CF6391" w:rsidP="007F201B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(Доверенность б/н </w:t>
            </w:r>
            <w:r w:rsidR="00B07805" w:rsidRPr="00B07805">
              <w:rPr>
                <w:sz w:val="22"/>
                <w:szCs w:val="22"/>
              </w:rPr>
              <w:t xml:space="preserve">от </w:t>
            </w:r>
            <w:r w:rsidR="007F201B">
              <w:rPr>
                <w:sz w:val="22"/>
                <w:szCs w:val="22"/>
              </w:rPr>
              <w:t>20.12.2019</w:t>
            </w:r>
            <w:r w:rsidR="00B07805" w:rsidRPr="00B07805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B4DCB" w14:textId="77777777" w:rsidR="00DB62B7" w:rsidRPr="00B07805" w:rsidRDefault="00DB62B7" w:rsidP="002B6EE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4A80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DDC0" w14:textId="77777777" w:rsidR="00DB62B7" w:rsidRPr="005B6697" w:rsidRDefault="00DB62B7" w:rsidP="002B6EE6">
            <w:pPr>
              <w:jc w:val="right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6B79F300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 w14:paraId="4E25C1C0" w14:textId="7777777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</w:tcPr>
          <w:p w14:paraId="15282550" w14:textId="77777777" w:rsidR="00DB62B7" w:rsidRPr="005B6697" w:rsidRDefault="00DB62B7" w:rsidP="002B6EE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2A9B" w14:textId="77777777" w:rsidR="00DB62B7" w:rsidRPr="005B6697" w:rsidRDefault="00DB62B7" w:rsidP="002B6EE6">
            <w:pPr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B4D27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7BD0FF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0D9BFB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 w14:paraId="1687C89A" w14:textId="77777777">
        <w:tc>
          <w:tcPr>
            <w:tcW w:w="1219" w:type="dxa"/>
            <w:tcBorders>
              <w:top w:val="nil"/>
              <w:bottom w:val="nil"/>
              <w:right w:val="nil"/>
            </w:tcBorders>
            <w:vAlign w:val="bottom"/>
          </w:tcPr>
          <w:p w14:paraId="1986CD3A" w14:textId="77777777" w:rsidR="00DB62B7" w:rsidRPr="004018D1" w:rsidRDefault="00DB62B7" w:rsidP="002B6EE6">
            <w:pPr>
              <w:ind w:left="57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BE1D1" w14:textId="4AA1E378" w:rsidR="00DB62B7" w:rsidRPr="004018D1" w:rsidRDefault="00C0087B" w:rsidP="009F2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EE29" w14:textId="77777777" w:rsidR="00DB62B7" w:rsidRPr="004018D1" w:rsidRDefault="00DB62B7" w:rsidP="002B6EE6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76F8F" w14:textId="03ADAA70" w:rsidR="00DB62B7" w:rsidRPr="004018D1" w:rsidRDefault="00C0087B" w:rsidP="008B4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CAE4" w14:textId="77777777" w:rsidR="00DB62B7" w:rsidRPr="004018D1" w:rsidRDefault="00DB62B7" w:rsidP="002B6EE6">
            <w:pPr>
              <w:jc w:val="right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7761A" w14:textId="77777777" w:rsidR="00DB62B7" w:rsidRPr="004018D1" w:rsidRDefault="007F201B" w:rsidP="0023454E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A53A" w14:textId="77777777" w:rsidR="00DB62B7" w:rsidRPr="004018D1" w:rsidRDefault="00DB62B7" w:rsidP="002B6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6917D7D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264B2C" w:rsidRPr="005B6697" w14:paraId="42F69898" w14:textId="77777777">
        <w:tc>
          <w:tcPr>
            <w:tcW w:w="121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2278B84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04368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6E1BE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F24B2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F7F02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82800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34B4A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78C0DB5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948CFC5" w14:textId="77777777" w:rsidR="00264B2C" w:rsidRPr="005B6697" w:rsidRDefault="00264B2C">
      <w:pPr>
        <w:rPr>
          <w:sz w:val="22"/>
          <w:szCs w:val="22"/>
        </w:rPr>
      </w:pPr>
    </w:p>
    <w:sectPr w:rsidR="00264B2C" w:rsidRPr="005B6697" w:rsidSect="00CC5B1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4AA3" w14:textId="77777777" w:rsidR="000326F1" w:rsidRDefault="000326F1" w:rsidP="00887EEF">
      <w:r>
        <w:separator/>
      </w:r>
    </w:p>
  </w:endnote>
  <w:endnote w:type="continuationSeparator" w:id="0">
    <w:p w14:paraId="0A2644E6" w14:textId="77777777" w:rsidR="000326F1" w:rsidRDefault="000326F1" w:rsidP="00887EEF">
      <w:r>
        <w:continuationSeparator/>
      </w:r>
    </w:p>
  </w:endnote>
  <w:endnote w:type="continuationNotice" w:id="1">
    <w:p w14:paraId="6F9E49E7" w14:textId="77777777" w:rsidR="000326F1" w:rsidRDefault="00032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4273" w14:textId="77777777" w:rsidR="000326F1" w:rsidRDefault="000326F1" w:rsidP="00887EEF">
      <w:r>
        <w:separator/>
      </w:r>
    </w:p>
  </w:footnote>
  <w:footnote w:type="continuationSeparator" w:id="0">
    <w:p w14:paraId="21F76719" w14:textId="77777777" w:rsidR="000326F1" w:rsidRDefault="000326F1" w:rsidP="00887EEF">
      <w:r>
        <w:continuationSeparator/>
      </w:r>
    </w:p>
  </w:footnote>
  <w:footnote w:type="continuationNotice" w:id="1">
    <w:p w14:paraId="0C80868E" w14:textId="77777777" w:rsidR="000326F1" w:rsidRDefault="000326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C"/>
    <w:multiLevelType w:val="hybridMultilevel"/>
    <w:tmpl w:val="1C483520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264C5D"/>
    <w:multiLevelType w:val="hybridMultilevel"/>
    <w:tmpl w:val="D4B60C1C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E404730"/>
    <w:multiLevelType w:val="hybridMultilevel"/>
    <w:tmpl w:val="637280B6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B853616"/>
    <w:multiLevelType w:val="hybridMultilevel"/>
    <w:tmpl w:val="57FCF798"/>
    <w:lvl w:ilvl="0" w:tplc="0000000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35900"/>
    <w:multiLevelType w:val="hybridMultilevel"/>
    <w:tmpl w:val="58B2F824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6126E3C"/>
    <w:multiLevelType w:val="hybridMultilevel"/>
    <w:tmpl w:val="9A2CF840"/>
    <w:lvl w:ilvl="0" w:tplc="0000000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 w:tplc="0000000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F"/>
    <w:rsid w:val="00011491"/>
    <w:rsid w:val="000326F1"/>
    <w:rsid w:val="00033E44"/>
    <w:rsid w:val="000362D5"/>
    <w:rsid w:val="00051FB4"/>
    <w:rsid w:val="000610D7"/>
    <w:rsid w:val="00062FEE"/>
    <w:rsid w:val="000704D9"/>
    <w:rsid w:val="0009398B"/>
    <w:rsid w:val="000B792F"/>
    <w:rsid w:val="000D0B37"/>
    <w:rsid w:val="00105D8A"/>
    <w:rsid w:val="00165BEC"/>
    <w:rsid w:val="00170F60"/>
    <w:rsid w:val="00190AAC"/>
    <w:rsid w:val="001A48B8"/>
    <w:rsid w:val="002224FF"/>
    <w:rsid w:val="00222E1E"/>
    <w:rsid w:val="0023454E"/>
    <w:rsid w:val="00264B2C"/>
    <w:rsid w:val="0029004A"/>
    <w:rsid w:val="002A1538"/>
    <w:rsid w:val="002A4C4E"/>
    <w:rsid w:val="002B6EE6"/>
    <w:rsid w:val="00326A12"/>
    <w:rsid w:val="00330028"/>
    <w:rsid w:val="00342F32"/>
    <w:rsid w:val="00345D00"/>
    <w:rsid w:val="00384666"/>
    <w:rsid w:val="003B6514"/>
    <w:rsid w:val="003D008C"/>
    <w:rsid w:val="003D0FB0"/>
    <w:rsid w:val="003D1BFE"/>
    <w:rsid w:val="003F2BCF"/>
    <w:rsid w:val="003F5AB2"/>
    <w:rsid w:val="004018D1"/>
    <w:rsid w:val="00420A16"/>
    <w:rsid w:val="004236F8"/>
    <w:rsid w:val="00424B31"/>
    <w:rsid w:val="00446F79"/>
    <w:rsid w:val="00465E04"/>
    <w:rsid w:val="004A5A6C"/>
    <w:rsid w:val="004D3615"/>
    <w:rsid w:val="004D4A3F"/>
    <w:rsid w:val="004E1A19"/>
    <w:rsid w:val="004E299D"/>
    <w:rsid w:val="00501123"/>
    <w:rsid w:val="00523DB5"/>
    <w:rsid w:val="005367FF"/>
    <w:rsid w:val="005408B4"/>
    <w:rsid w:val="00566441"/>
    <w:rsid w:val="00575A66"/>
    <w:rsid w:val="005A11C3"/>
    <w:rsid w:val="005B6697"/>
    <w:rsid w:val="005F4541"/>
    <w:rsid w:val="005F6D6D"/>
    <w:rsid w:val="00607151"/>
    <w:rsid w:val="00635D49"/>
    <w:rsid w:val="00636121"/>
    <w:rsid w:val="0066754E"/>
    <w:rsid w:val="00677D76"/>
    <w:rsid w:val="00693E9E"/>
    <w:rsid w:val="006A36E2"/>
    <w:rsid w:val="006C30D9"/>
    <w:rsid w:val="006D3D8D"/>
    <w:rsid w:val="006D6399"/>
    <w:rsid w:val="00733CF5"/>
    <w:rsid w:val="00751E4B"/>
    <w:rsid w:val="007523DD"/>
    <w:rsid w:val="007870CB"/>
    <w:rsid w:val="00787C2D"/>
    <w:rsid w:val="007A461B"/>
    <w:rsid w:val="007A48E5"/>
    <w:rsid w:val="007A59FB"/>
    <w:rsid w:val="007B0278"/>
    <w:rsid w:val="007D0D70"/>
    <w:rsid w:val="007D4046"/>
    <w:rsid w:val="007F201B"/>
    <w:rsid w:val="00805A41"/>
    <w:rsid w:val="008066F2"/>
    <w:rsid w:val="00811A5F"/>
    <w:rsid w:val="008425C2"/>
    <w:rsid w:val="00846811"/>
    <w:rsid w:val="00847F74"/>
    <w:rsid w:val="00867473"/>
    <w:rsid w:val="00873D38"/>
    <w:rsid w:val="00887EEF"/>
    <w:rsid w:val="00896E54"/>
    <w:rsid w:val="00897212"/>
    <w:rsid w:val="008A1B04"/>
    <w:rsid w:val="008B43D4"/>
    <w:rsid w:val="008D2872"/>
    <w:rsid w:val="008F145A"/>
    <w:rsid w:val="008F7243"/>
    <w:rsid w:val="00912396"/>
    <w:rsid w:val="00936FE8"/>
    <w:rsid w:val="00956820"/>
    <w:rsid w:val="00966DA5"/>
    <w:rsid w:val="0098217D"/>
    <w:rsid w:val="00991F23"/>
    <w:rsid w:val="009A1EE7"/>
    <w:rsid w:val="009A67B4"/>
    <w:rsid w:val="009D155F"/>
    <w:rsid w:val="009D37B9"/>
    <w:rsid w:val="009F24B1"/>
    <w:rsid w:val="009F2923"/>
    <w:rsid w:val="00A3036B"/>
    <w:rsid w:val="00A66A42"/>
    <w:rsid w:val="00A6701E"/>
    <w:rsid w:val="00A74DD0"/>
    <w:rsid w:val="00A86F4B"/>
    <w:rsid w:val="00A92667"/>
    <w:rsid w:val="00AA1A7C"/>
    <w:rsid w:val="00AA54C1"/>
    <w:rsid w:val="00AC5506"/>
    <w:rsid w:val="00AD5094"/>
    <w:rsid w:val="00AE644B"/>
    <w:rsid w:val="00AF00A9"/>
    <w:rsid w:val="00AF1EF1"/>
    <w:rsid w:val="00B0369F"/>
    <w:rsid w:val="00B07805"/>
    <w:rsid w:val="00B528EB"/>
    <w:rsid w:val="00B80988"/>
    <w:rsid w:val="00BA6B7C"/>
    <w:rsid w:val="00BC6C80"/>
    <w:rsid w:val="00BE1D28"/>
    <w:rsid w:val="00BF28CD"/>
    <w:rsid w:val="00C0087B"/>
    <w:rsid w:val="00C26DF3"/>
    <w:rsid w:val="00C30C32"/>
    <w:rsid w:val="00C90778"/>
    <w:rsid w:val="00C92239"/>
    <w:rsid w:val="00CC5B10"/>
    <w:rsid w:val="00CF1D13"/>
    <w:rsid w:val="00CF6391"/>
    <w:rsid w:val="00D26C01"/>
    <w:rsid w:val="00D346F4"/>
    <w:rsid w:val="00D46574"/>
    <w:rsid w:val="00D75AD4"/>
    <w:rsid w:val="00D81D4C"/>
    <w:rsid w:val="00DA213A"/>
    <w:rsid w:val="00DA5473"/>
    <w:rsid w:val="00DB62B7"/>
    <w:rsid w:val="00DC3334"/>
    <w:rsid w:val="00DC5BA9"/>
    <w:rsid w:val="00DD4521"/>
    <w:rsid w:val="00DE6FB7"/>
    <w:rsid w:val="00DF21DE"/>
    <w:rsid w:val="00DF4EC9"/>
    <w:rsid w:val="00E32832"/>
    <w:rsid w:val="00E366CE"/>
    <w:rsid w:val="00E64DD6"/>
    <w:rsid w:val="00E7386E"/>
    <w:rsid w:val="00E9402E"/>
    <w:rsid w:val="00E96D9F"/>
    <w:rsid w:val="00EA1637"/>
    <w:rsid w:val="00EC0897"/>
    <w:rsid w:val="00ED4D17"/>
    <w:rsid w:val="00ED6F80"/>
    <w:rsid w:val="00F11979"/>
    <w:rsid w:val="00F15F13"/>
    <w:rsid w:val="00F279A6"/>
    <w:rsid w:val="00F40950"/>
    <w:rsid w:val="00F721CE"/>
    <w:rsid w:val="00F74089"/>
    <w:rsid w:val="00F86C96"/>
    <w:rsid w:val="00FB14DC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DBC56"/>
  <w14:defaultImageDpi w14:val="0"/>
  <w15:docId w15:val="{E7969F85-35DF-451A-97A7-8DD40B8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pPr>
      <w:autoSpaceDE w:val="0"/>
      <w:autoSpaceDN w:val="0"/>
    </w:pPr>
    <w:rPr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99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pPr>
      <w:spacing w:after="120"/>
      <w:ind w:left="283"/>
    </w:pPr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DB62B7"/>
    <w:rPr>
      <w:b/>
      <w:i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 Знак1 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">
    <w:name w:val="1"/>
    <w:basedOn w:val="a"/>
    <w:rsid w:val="00936FE8"/>
  </w:style>
  <w:style w:type="paragraph" w:customStyle="1" w:styleId="ConsPlusNormal">
    <w:name w:val="ConsPlusNormal"/>
    <w:basedOn w:val="a"/>
    <w:pPr>
      <w:autoSpaceDE w:val="0"/>
      <w:autoSpaceDN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pPr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87EEF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unhideWhenUsed/>
    <w:rsid w:val="00887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87EEF"/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7EE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Шниткова Ирина Борисовна</dc:creator>
  <cp:keywords/>
  <cp:lastModifiedBy>Шниткова Ирина Борисовна</cp:lastModifiedBy>
  <cp:revision>9</cp:revision>
  <dcterms:created xsi:type="dcterms:W3CDTF">2020-05-18T09:32:00Z</dcterms:created>
  <dcterms:modified xsi:type="dcterms:W3CDTF">2020-05-18T11:35:00Z</dcterms:modified>
</cp:coreProperties>
</file>