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4B2C" w:rsidRPr="00751E4B" w:rsidRDefault="00264B2C" w:rsidP="00170F60">
      <w:pPr>
        <w:autoSpaceDE w:val="0"/>
        <w:autoSpaceDN w:val="0"/>
        <w:jc w:val="center"/>
        <w:rPr>
          <w:b/>
          <w:bCs/>
          <w:sz w:val="24"/>
          <w:szCs w:val="24"/>
        </w:rPr>
      </w:pPr>
      <w:r w:rsidRPr="00751E4B">
        <w:rPr>
          <w:b/>
          <w:bCs/>
          <w:sz w:val="24"/>
          <w:szCs w:val="24"/>
        </w:rPr>
        <w:t xml:space="preserve">СООБЩЕНИЕ </w:t>
      </w:r>
    </w:p>
    <w:p w:rsidR="000D0B37" w:rsidRPr="00751E4B" w:rsidRDefault="00170F60" w:rsidP="00170F60">
      <w:pPr>
        <w:autoSpaceDE w:val="0"/>
        <w:autoSpaceDN w:val="0"/>
        <w:adjustRightInd w:val="0"/>
        <w:jc w:val="center"/>
        <w:rPr>
          <w:b/>
          <w:bCs/>
          <w:sz w:val="24"/>
          <w:szCs w:val="24"/>
        </w:rPr>
      </w:pPr>
      <w:r w:rsidRPr="00751E4B">
        <w:rPr>
          <w:b/>
          <w:bCs/>
          <w:sz w:val="24"/>
          <w:szCs w:val="24"/>
        </w:rPr>
        <w:t>о существенном факте о</w:t>
      </w:r>
      <w:r w:rsidR="000D0B37" w:rsidRPr="00751E4B">
        <w:rPr>
          <w:b/>
          <w:bCs/>
          <w:sz w:val="24"/>
          <w:szCs w:val="24"/>
        </w:rPr>
        <w:t xml:space="preserve"> совершении эмитентом или лицом, предоставившим</w:t>
      </w:r>
      <w:r w:rsidR="00DF21DE" w:rsidRPr="00751E4B">
        <w:rPr>
          <w:b/>
          <w:bCs/>
          <w:sz w:val="24"/>
          <w:szCs w:val="24"/>
        </w:rPr>
        <w:t xml:space="preserve"> </w:t>
      </w:r>
      <w:r w:rsidR="000D0B37" w:rsidRPr="00751E4B">
        <w:rPr>
          <w:b/>
          <w:bCs/>
          <w:sz w:val="24"/>
          <w:szCs w:val="24"/>
        </w:rPr>
        <w:t>обеспечение по облигациям эмитента, сделки, размер которой составляет 10 или более процентов балансовой стоимости активов эмитента или указанного лица на дату окончания отчетного периода (квартала, года), предшествующего совершению сделки, в отношении которого установленный истек срок представления бухгалтерской (финансовой</w:t>
      </w:r>
      <w:r w:rsidR="00677D76" w:rsidRPr="00751E4B">
        <w:rPr>
          <w:b/>
          <w:bCs/>
          <w:sz w:val="24"/>
          <w:szCs w:val="24"/>
        </w:rPr>
        <w:t>) отчетности (дату окончания последнего завершенного отчетного периода, предшествующего совершению сделки)</w:t>
      </w:r>
    </w:p>
    <w:tbl>
      <w:tblPr>
        <w:tblW w:w="10660"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5117"/>
        <w:gridCol w:w="5543"/>
      </w:tblGrid>
      <w:tr w:rsidR="00264B2C" w:rsidRPr="005B6697">
        <w:tc>
          <w:tcPr>
            <w:tcW w:w="10660" w:type="dxa"/>
            <w:gridSpan w:val="2"/>
            <w:tcBorders>
              <w:top w:val="single" w:sz="4" w:space="0" w:color="auto"/>
              <w:bottom w:val="single" w:sz="4" w:space="0" w:color="auto"/>
            </w:tcBorders>
            <w:vAlign w:val="bottom"/>
          </w:tcPr>
          <w:p w:rsidR="00264B2C" w:rsidRPr="005B6697" w:rsidRDefault="00264B2C">
            <w:pPr>
              <w:autoSpaceDE w:val="0"/>
              <w:autoSpaceDN w:val="0"/>
              <w:jc w:val="center"/>
              <w:rPr>
                <w:sz w:val="22"/>
                <w:szCs w:val="22"/>
              </w:rPr>
            </w:pPr>
            <w:r w:rsidRPr="005B6697">
              <w:rPr>
                <w:sz w:val="22"/>
                <w:szCs w:val="22"/>
              </w:rPr>
              <w:t>1. Общие сведения</w:t>
            </w:r>
          </w:p>
        </w:tc>
      </w:tr>
      <w:tr w:rsidR="00DB62B7" w:rsidRPr="005B6697">
        <w:tc>
          <w:tcPr>
            <w:tcW w:w="5117" w:type="dxa"/>
            <w:tcBorders>
              <w:top w:val="single" w:sz="4" w:space="0" w:color="auto"/>
              <w:bottom w:val="single" w:sz="4" w:space="0" w:color="auto"/>
              <w:right w:val="single" w:sz="4" w:space="0" w:color="auto"/>
            </w:tcBorders>
          </w:tcPr>
          <w:p w:rsidR="00DB62B7" w:rsidRPr="005B6697" w:rsidRDefault="00DB62B7">
            <w:pPr>
              <w:autoSpaceDE w:val="0"/>
              <w:autoSpaceDN w:val="0"/>
              <w:ind w:left="57"/>
              <w:rPr>
                <w:sz w:val="22"/>
                <w:szCs w:val="22"/>
              </w:rPr>
            </w:pPr>
            <w:r w:rsidRPr="005B6697">
              <w:rPr>
                <w:sz w:val="22"/>
                <w:szCs w:val="22"/>
              </w:rPr>
              <w:t>1.1. Полное фирменное наименование эмитента</w:t>
            </w:r>
          </w:p>
        </w:tc>
        <w:tc>
          <w:tcPr>
            <w:tcW w:w="5543" w:type="dxa"/>
            <w:tcBorders>
              <w:top w:val="single" w:sz="4" w:space="0" w:color="auto"/>
              <w:left w:val="single" w:sz="4" w:space="0" w:color="auto"/>
              <w:bottom w:val="single" w:sz="4" w:space="0" w:color="auto"/>
            </w:tcBorders>
          </w:tcPr>
          <w:p w:rsidR="00DB62B7" w:rsidRPr="005B6697" w:rsidRDefault="008F7243" w:rsidP="002B6EE6">
            <w:pPr>
              <w:pStyle w:val="a8"/>
              <w:ind w:left="0"/>
              <w:jc w:val="both"/>
              <w:rPr>
                <w:b/>
                <w:bCs/>
                <w:i/>
                <w:iCs/>
                <w:sz w:val="22"/>
                <w:szCs w:val="22"/>
              </w:rPr>
            </w:pPr>
            <w:r w:rsidRPr="005B6697">
              <w:rPr>
                <w:b/>
                <w:i/>
                <w:sz w:val="22"/>
                <w:szCs w:val="22"/>
              </w:rPr>
              <w:t>Публичное</w:t>
            </w:r>
            <w:r w:rsidR="00DB62B7" w:rsidRPr="005B6697">
              <w:rPr>
                <w:b/>
                <w:i/>
                <w:sz w:val="22"/>
                <w:szCs w:val="22"/>
              </w:rPr>
              <w:t xml:space="preserve"> акционерное общество «ФосАгро»</w:t>
            </w:r>
          </w:p>
        </w:tc>
      </w:tr>
      <w:tr w:rsidR="00DB62B7" w:rsidRPr="005B6697">
        <w:tc>
          <w:tcPr>
            <w:tcW w:w="5117" w:type="dxa"/>
            <w:tcBorders>
              <w:top w:val="single" w:sz="4" w:space="0" w:color="auto"/>
              <w:bottom w:val="single" w:sz="4" w:space="0" w:color="auto"/>
              <w:right w:val="single" w:sz="4" w:space="0" w:color="auto"/>
            </w:tcBorders>
          </w:tcPr>
          <w:p w:rsidR="00DB62B7" w:rsidRPr="005B6697" w:rsidRDefault="00DB62B7">
            <w:pPr>
              <w:autoSpaceDE w:val="0"/>
              <w:autoSpaceDN w:val="0"/>
              <w:ind w:left="57"/>
              <w:rPr>
                <w:sz w:val="22"/>
                <w:szCs w:val="22"/>
              </w:rPr>
            </w:pPr>
            <w:r w:rsidRPr="005B6697">
              <w:rPr>
                <w:sz w:val="22"/>
                <w:szCs w:val="22"/>
              </w:rPr>
              <w:t>1.2. Сокращенное фирменное наименование эмитента</w:t>
            </w:r>
          </w:p>
        </w:tc>
        <w:tc>
          <w:tcPr>
            <w:tcW w:w="5543" w:type="dxa"/>
            <w:tcBorders>
              <w:top w:val="single" w:sz="4" w:space="0" w:color="auto"/>
              <w:left w:val="single" w:sz="4" w:space="0" w:color="auto"/>
              <w:bottom w:val="single" w:sz="4" w:space="0" w:color="auto"/>
            </w:tcBorders>
          </w:tcPr>
          <w:p w:rsidR="00DB62B7" w:rsidRPr="005B6697" w:rsidRDefault="008F7243" w:rsidP="002B6EE6">
            <w:pPr>
              <w:pStyle w:val="a8"/>
              <w:ind w:left="0"/>
              <w:jc w:val="both"/>
              <w:rPr>
                <w:b/>
                <w:bCs/>
                <w:i/>
                <w:iCs/>
                <w:sz w:val="22"/>
                <w:szCs w:val="22"/>
              </w:rPr>
            </w:pPr>
            <w:r w:rsidRPr="005B6697">
              <w:rPr>
                <w:b/>
                <w:i/>
                <w:sz w:val="22"/>
                <w:szCs w:val="22"/>
              </w:rPr>
              <w:t>П</w:t>
            </w:r>
            <w:r w:rsidR="00DB62B7" w:rsidRPr="005B6697">
              <w:rPr>
                <w:b/>
                <w:i/>
                <w:sz w:val="22"/>
                <w:szCs w:val="22"/>
              </w:rPr>
              <w:t>АО «ФосАгро»</w:t>
            </w:r>
          </w:p>
        </w:tc>
      </w:tr>
      <w:tr w:rsidR="00DB62B7" w:rsidRPr="005B6697">
        <w:tc>
          <w:tcPr>
            <w:tcW w:w="5117" w:type="dxa"/>
            <w:tcBorders>
              <w:top w:val="single" w:sz="4" w:space="0" w:color="auto"/>
              <w:bottom w:val="single" w:sz="4" w:space="0" w:color="auto"/>
              <w:right w:val="single" w:sz="4" w:space="0" w:color="auto"/>
            </w:tcBorders>
          </w:tcPr>
          <w:p w:rsidR="00DB62B7" w:rsidRPr="005B6697" w:rsidRDefault="00DB62B7">
            <w:pPr>
              <w:autoSpaceDE w:val="0"/>
              <w:autoSpaceDN w:val="0"/>
              <w:ind w:left="57"/>
              <w:rPr>
                <w:sz w:val="22"/>
                <w:szCs w:val="22"/>
              </w:rPr>
            </w:pPr>
            <w:r w:rsidRPr="005B6697">
              <w:rPr>
                <w:sz w:val="22"/>
                <w:szCs w:val="22"/>
              </w:rPr>
              <w:t>1.3. Место нахождения эмитента</w:t>
            </w:r>
          </w:p>
        </w:tc>
        <w:tc>
          <w:tcPr>
            <w:tcW w:w="5543" w:type="dxa"/>
            <w:tcBorders>
              <w:top w:val="single" w:sz="4" w:space="0" w:color="auto"/>
              <w:left w:val="single" w:sz="4" w:space="0" w:color="auto"/>
              <w:bottom w:val="single" w:sz="4" w:space="0" w:color="auto"/>
            </w:tcBorders>
          </w:tcPr>
          <w:p w:rsidR="00DB62B7" w:rsidRPr="005B6697" w:rsidRDefault="00DB62B7" w:rsidP="002B6EE6">
            <w:pPr>
              <w:pStyle w:val="a8"/>
              <w:ind w:left="0"/>
              <w:jc w:val="both"/>
              <w:rPr>
                <w:sz w:val="22"/>
                <w:szCs w:val="22"/>
              </w:rPr>
            </w:pPr>
            <w:r w:rsidRPr="005B6697">
              <w:rPr>
                <w:b/>
                <w:i/>
                <w:sz w:val="22"/>
                <w:szCs w:val="22"/>
              </w:rPr>
              <w:t>119333, г. Москва, Ленинский проспект, д. 55/1, стр. 1</w:t>
            </w:r>
          </w:p>
        </w:tc>
      </w:tr>
      <w:tr w:rsidR="00DB62B7" w:rsidRPr="005B6697">
        <w:tc>
          <w:tcPr>
            <w:tcW w:w="5117" w:type="dxa"/>
            <w:tcBorders>
              <w:top w:val="single" w:sz="4" w:space="0" w:color="auto"/>
              <w:bottom w:val="single" w:sz="4" w:space="0" w:color="auto"/>
              <w:right w:val="single" w:sz="4" w:space="0" w:color="auto"/>
            </w:tcBorders>
          </w:tcPr>
          <w:p w:rsidR="00DB62B7" w:rsidRPr="005B6697" w:rsidRDefault="00DB62B7">
            <w:pPr>
              <w:autoSpaceDE w:val="0"/>
              <w:autoSpaceDN w:val="0"/>
              <w:ind w:left="57"/>
              <w:rPr>
                <w:sz w:val="22"/>
                <w:szCs w:val="22"/>
              </w:rPr>
            </w:pPr>
            <w:r w:rsidRPr="005B6697">
              <w:rPr>
                <w:sz w:val="22"/>
                <w:szCs w:val="22"/>
              </w:rPr>
              <w:t>1.4. ОГРН эмитента</w:t>
            </w:r>
          </w:p>
        </w:tc>
        <w:tc>
          <w:tcPr>
            <w:tcW w:w="5543" w:type="dxa"/>
            <w:tcBorders>
              <w:top w:val="single" w:sz="4" w:space="0" w:color="auto"/>
              <w:left w:val="single" w:sz="4" w:space="0" w:color="auto"/>
              <w:bottom w:val="single" w:sz="4" w:space="0" w:color="auto"/>
            </w:tcBorders>
          </w:tcPr>
          <w:p w:rsidR="00DB62B7" w:rsidRPr="005B6697" w:rsidRDefault="00DB62B7" w:rsidP="002B6EE6">
            <w:pPr>
              <w:pStyle w:val="a8"/>
              <w:ind w:left="0"/>
              <w:jc w:val="both"/>
              <w:rPr>
                <w:sz w:val="22"/>
                <w:szCs w:val="22"/>
              </w:rPr>
            </w:pPr>
            <w:r w:rsidRPr="005B6697">
              <w:rPr>
                <w:b/>
                <w:i/>
                <w:sz w:val="22"/>
                <w:szCs w:val="22"/>
              </w:rPr>
              <w:t>1027700190572</w:t>
            </w:r>
          </w:p>
        </w:tc>
      </w:tr>
      <w:tr w:rsidR="00DB62B7" w:rsidRPr="005B6697">
        <w:tc>
          <w:tcPr>
            <w:tcW w:w="5117" w:type="dxa"/>
            <w:tcBorders>
              <w:top w:val="single" w:sz="4" w:space="0" w:color="auto"/>
              <w:bottom w:val="single" w:sz="4" w:space="0" w:color="auto"/>
              <w:right w:val="single" w:sz="4" w:space="0" w:color="auto"/>
            </w:tcBorders>
          </w:tcPr>
          <w:p w:rsidR="00DB62B7" w:rsidRPr="005B6697" w:rsidRDefault="00DB62B7">
            <w:pPr>
              <w:autoSpaceDE w:val="0"/>
              <w:autoSpaceDN w:val="0"/>
              <w:ind w:left="57"/>
              <w:rPr>
                <w:sz w:val="22"/>
                <w:szCs w:val="22"/>
              </w:rPr>
            </w:pPr>
            <w:r w:rsidRPr="005B6697">
              <w:rPr>
                <w:sz w:val="22"/>
                <w:szCs w:val="22"/>
              </w:rPr>
              <w:t>1.5. ИНН эмитента</w:t>
            </w:r>
          </w:p>
        </w:tc>
        <w:tc>
          <w:tcPr>
            <w:tcW w:w="5543" w:type="dxa"/>
            <w:tcBorders>
              <w:top w:val="single" w:sz="4" w:space="0" w:color="auto"/>
              <w:left w:val="single" w:sz="4" w:space="0" w:color="auto"/>
              <w:bottom w:val="single" w:sz="4" w:space="0" w:color="auto"/>
            </w:tcBorders>
          </w:tcPr>
          <w:p w:rsidR="00DB62B7" w:rsidRPr="005B6697" w:rsidRDefault="00DB62B7" w:rsidP="002B6EE6">
            <w:pPr>
              <w:pStyle w:val="a8"/>
              <w:ind w:left="0"/>
              <w:jc w:val="both"/>
              <w:rPr>
                <w:sz w:val="22"/>
                <w:szCs w:val="22"/>
              </w:rPr>
            </w:pPr>
            <w:r w:rsidRPr="005B6697">
              <w:rPr>
                <w:b/>
                <w:bCs/>
                <w:i/>
                <w:iCs/>
                <w:sz w:val="22"/>
                <w:szCs w:val="22"/>
              </w:rPr>
              <w:t>7736216869</w:t>
            </w:r>
          </w:p>
        </w:tc>
      </w:tr>
      <w:tr w:rsidR="00DB62B7" w:rsidRPr="005B6697">
        <w:tc>
          <w:tcPr>
            <w:tcW w:w="5117" w:type="dxa"/>
            <w:tcBorders>
              <w:top w:val="single" w:sz="4" w:space="0" w:color="auto"/>
              <w:bottom w:val="single" w:sz="4" w:space="0" w:color="auto"/>
              <w:right w:val="single" w:sz="4" w:space="0" w:color="auto"/>
            </w:tcBorders>
          </w:tcPr>
          <w:p w:rsidR="00DB62B7" w:rsidRPr="005B6697" w:rsidRDefault="00DB62B7">
            <w:pPr>
              <w:autoSpaceDE w:val="0"/>
              <w:autoSpaceDN w:val="0"/>
              <w:ind w:left="57"/>
              <w:rPr>
                <w:sz w:val="22"/>
                <w:szCs w:val="22"/>
              </w:rPr>
            </w:pPr>
            <w:r w:rsidRPr="005B6697">
              <w:rPr>
                <w:sz w:val="22"/>
                <w:szCs w:val="22"/>
              </w:rPr>
              <w:t>1.6. Уникальный код эмитента, присвоенный регистрирующим органом</w:t>
            </w:r>
          </w:p>
        </w:tc>
        <w:tc>
          <w:tcPr>
            <w:tcW w:w="5543" w:type="dxa"/>
            <w:tcBorders>
              <w:top w:val="single" w:sz="4" w:space="0" w:color="auto"/>
              <w:left w:val="single" w:sz="4" w:space="0" w:color="auto"/>
              <w:bottom w:val="single" w:sz="4" w:space="0" w:color="auto"/>
            </w:tcBorders>
          </w:tcPr>
          <w:p w:rsidR="00DB62B7" w:rsidRPr="005B6697" w:rsidRDefault="00DB62B7" w:rsidP="002B6EE6">
            <w:pPr>
              <w:pStyle w:val="a8"/>
              <w:ind w:left="0"/>
              <w:jc w:val="both"/>
              <w:rPr>
                <w:sz w:val="22"/>
                <w:szCs w:val="22"/>
              </w:rPr>
            </w:pPr>
            <w:r w:rsidRPr="005B6697">
              <w:rPr>
                <w:rStyle w:val="SUBST"/>
                <w:bCs/>
                <w:iCs/>
                <w:szCs w:val="22"/>
              </w:rPr>
              <w:t>06556-А</w:t>
            </w:r>
          </w:p>
        </w:tc>
      </w:tr>
      <w:tr w:rsidR="00B0369F" w:rsidRPr="005B6697">
        <w:tc>
          <w:tcPr>
            <w:tcW w:w="5117" w:type="dxa"/>
            <w:tcBorders>
              <w:top w:val="single" w:sz="4" w:space="0" w:color="auto"/>
              <w:bottom w:val="single" w:sz="4" w:space="0" w:color="auto"/>
              <w:right w:val="single" w:sz="4" w:space="0" w:color="auto"/>
            </w:tcBorders>
          </w:tcPr>
          <w:p w:rsidR="00B0369F" w:rsidRPr="005B6697" w:rsidRDefault="00B0369F">
            <w:pPr>
              <w:autoSpaceDE w:val="0"/>
              <w:autoSpaceDN w:val="0"/>
              <w:ind w:left="57"/>
              <w:rPr>
                <w:sz w:val="22"/>
                <w:szCs w:val="22"/>
              </w:rPr>
            </w:pPr>
            <w:r w:rsidRPr="005B6697">
              <w:rPr>
                <w:sz w:val="22"/>
                <w:szCs w:val="22"/>
              </w:rPr>
              <w:t>1.7. Адрес страницы в сети Интернет, используемой эмитентом для раскрытия информации</w:t>
            </w:r>
          </w:p>
        </w:tc>
        <w:tc>
          <w:tcPr>
            <w:tcW w:w="5543" w:type="dxa"/>
            <w:tcBorders>
              <w:top w:val="single" w:sz="4" w:space="0" w:color="auto"/>
              <w:left w:val="single" w:sz="4" w:space="0" w:color="auto"/>
              <w:bottom w:val="single" w:sz="4" w:space="0" w:color="auto"/>
            </w:tcBorders>
          </w:tcPr>
          <w:p w:rsidR="002A1538" w:rsidRPr="005B6697" w:rsidRDefault="00F8176B" w:rsidP="002A1538">
            <w:pPr>
              <w:jc w:val="both"/>
              <w:rPr>
                <w:rStyle w:val="a3"/>
                <w:b/>
                <w:bCs/>
                <w:i/>
                <w:iCs/>
                <w:sz w:val="22"/>
                <w:szCs w:val="22"/>
              </w:rPr>
            </w:pPr>
            <w:hyperlink r:id="rId7" w:history="1">
              <w:r w:rsidR="002A1538" w:rsidRPr="005B6697">
                <w:rPr>
                  <w:rStyle w:val="a3"/>
                  <w:b/>
                  <w:bCs/>
                  <w:i/>
                  <w:iCs/>
                  <w:sz w:val="22"/>
                  <w:szCs w:val="22"/>
                </w:rPr>
                <w:t>http://www.phosagro.ru/ori/item4157.php</w:t>
              </w:r>
            </w:hyperlink>
          </w:p>
          <w:p w:rsidR="00B0369F" w:rsidRPr="005B6697" w:rsidRDefault="002A1538" w:rsidP="002A1538">
            <w:pPr>
              <w:jc w:val="both"/>
              <w:rPr>
                <w:b/>
                <w:bCs/>
                <w:i/>
                <w:iCs/>
                <w:sz w:val="22"/>
                <w:szCs w:val="22"/>
              </w:rPr>
            </w:pPr>
            <w:r w:rsidRPr="005B6697">
              <w:rPr>
                <w:rStyle w:val="a3"/>
                <w:b/>
                <w:bCs/>
                <w:i/>
                <w:iCs/>
                <w:sz w:val="22"/>
                <w:szCs w:val="22"/>
              </w:rPr>
              <w:t>http://www.e-disclosure.ru/portal/company.aspx?id=573</w:t>
            </w:r>
          </w:p>
        </w:tc>
      </w:tr>
      <w:tr w:rsidR="00B528EB" w:rsidRPr="005B6697">
        <w:tc>
          <w:tcPr>
            <w:tcW w:w="5117" w:type="dxa"/>
            <w:tcBorders>
              <w:top w:val="single" w:sz="4" w:space="0" w:color="auto"/>
              <w:bottom w:val="single" w:sz="4" w:space="0" w:color="auto"/>
              <w:right w:val="single" w:sz="4" w:space="0" w:color="auto"/>
            </w:tcBorders>
          </w:tcPr>
          <w:p w:rsidR="00B528EB" w:rsidRPr="0098217D" w:rsidRDefault="00B528EB" w:rsidP="00B528EB">
            <w:pPr>
              <w:autoSpaceDE w:val="0"/>
              <w:autoSpaceDN w:val="0"/>
              <w:ind w:left="57"/>
              <w:rPr>
                <w:sz w:val="22"/>
                <w:szCs w:val="22"/>
              </w:rPr>
            </w:pPr>
            <w:r w:rsidRPr="0098217D">
              <w:rPr>
                <w:sz w:val="22"/>
                <w:szCs w:val="22"/>
              </w:rPr>
              <w:t>1.8. Дата наступления события (существенного факта), о котором составлено сообщение (если применимо)</w:t>
            </w:r>
          </w:p>
        </w:tc>
        <w:tc>
          <w:tcPr>
            <w:tcW w:w="5543" w:type="dxa"/>
            <w:tcBorders>
              <w:top w:val="single" w:sz="4" w:space="0" w:color="auto"/>
              <w:left w:val="single" w:sz="4" w:space="0" w:color="auto"/>
              <w:bottom w:val="single" w:sz="4" w:space="0" w:color="auto"/>
            </w:tcBorders>
          </w:tcPr>
          <w:p w:rsidR="00B528EB" w:rsidRPr="0098217D" w:rsidRDefault="00B528EB" w:rsidP="00B528EB">
            <w:pPr>
              <w:jc w:val="both"/>
              <w:rPr>
                <w:b/>
                <w:i/>
                <w:sz w:val="22"/>
                <w:szCs w:val="22"/>
              </w:rPr>
            </w:pPr>
          </w:p>
          <w:p w:rsidR="00B528EB" w:rsidRPr="0098217D" w:rsidRDefault="002A73D5" w:rsidP="00B528EB">
            <w:pPr>
              <w:jc w:val="both"/>
              <w:rPr>
                <w:sz w:val="22"/>
                <w:szCs w:val="22"/>
              </w:rPr>
            </w:pPr>
            <w:r>
              <w:rPr>
                <w:b/>
                <w:i/>
                <w:sz w:val="22"/>
                <w:szCs w:val="22"/>
              </w:rPr>
              <w:t>14 сентября 2021</w:t>
            </w:r>
            <w:r w:rsidR="00B528EB" w:rsidRPr="00DA5473">
              <w:rPr>
                <w:b/>
                <w:i/>
                <w:sz w:val="22"/>
                <w:szCs w:val="22"/>
              </w:rPr>
              <w:t xml:space="preserve"> г.</w:t>
            </w:r>
          </w:p>
        </w:tc>
      </w:tr>
    </w:tbl>
    <w:p w:rsidR="00264B2C" w:rsidRPr="005B6697" w:rsidRDefault="00264B2C">
      <w:pPr>
        <w:autoSpaceDE w:val="0"/>
        <w:autoSpaceDN w:val="0"/>
        <w:rPr>
          <w:sz w:val="22"/>
          <w:szCs w:val="22"/>
        </w:rPr>
      </w:pPr>
    </w:p>
    <w:tbl>
      <w:tblPr>
        <w:tblW w:w="10660"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219"/>
        <w:gridCol w:w="510"/>
        <w:gridCol w:w="284"/>
        <w:gridCol w:w="1701"/>
        <w:gridCol w:w="425"/>
        <w:gridCol w:w="425"/>
        <w:gridCol w:w="142"/>
        <w:gridCol w:w="992"/>
        <w:gridCol w:w="709"/>
        <w:gridCol w:w="851"/>
        <w:gridCol w:w="2693"/>
        <w:gridCol w:w="709"/>
      </w:tblGrid>
      <w:tr w:rsidR="00264B2C" w:rsidRPr="005B6697">
        <w:tc>
          <w:tcPr>
            <w:tcW w:w="10660" w:type="dxa"/>
            <w:gridSpan w:val="12"/>
            <w:tcBorders>
              <w:top w:val="single" w:sz="4" w:space="0" w:color="auto"/>
              <w:bottom w:val="single" w:sz="4" w:space="0" w:color="auto"/>
            </w:tcBorders>
            <w:vAlign w:val="bottom"/>
          </w:tcPr>
          <w:p w:rsidR="00264B2C" w:rsidRPr="005B6697" w:rsidRDefault="00264B2C">
            <w:pPr>
              <w:autoSpaceDE w:val="0"/>
              <w:autoSpaceDN w:val="0"/>
              <w:jc w:val="center"/>
              <w:rPr>
                <w:sz w:val="22"/>
                <w:szCs w:val="22"/>
              </w:rPr>
            </w:pPr>
            <w:r w:rsidRPr="005B6697">
              <w:rPr>
                <w:sz w:val="22"/>
                <w:szCs w:val="22"/>
              </w:rPr>
              <w:t>2. Содержание сообщения</w:t>
            </w:r>
          </w:p>
        </w:tc>
      </w:tr>
      <w:tr w:rsidR="00446F79" w:rsidRPr="005B6697">
        <w:trPr>
          <w:trHeight w:val="346"/>
        </w:trPr>
        <w:tc>
          <w:tcPr>
            <w:tcW w:w="10660" w:type="dxa"/>
            <w:gridSpan w:val="12"/>
            <w:tcBorders>
              <w:top w:val="single" w:sz="4" w:space="0" w:color="auto"/>
              <w:bottom w:val="single" w:sz="4" w:space="0" w:color="auto"/>
            </w:tcBorders>
          </w:tcPr>
          <w:p w:rsidR="00677D76" w:rsidRPr="005B6697" w:rsidRDefault="00DF21DE" w:rsidP="00677D76">
            <w:pPr>
              <w:autoSpaceDE w:val="0"/>
              <w:autoSpaceDN w:val="0"/>
              <w:ind w:left="142" w:right="113"/>
              <w:jc w:val="center"/>
              <w:rPr>
                <w:sz w:val="22"/>
                <w:szCs w:val="22"/>
              </w:rPr>
            </w:pPr>
            <w:r w:rsidRPr="00D9062D">
              <w:rPr>
                <w:b/>
                <w:bCs/>
                <w:sz w:val="22"/>
                <w:szCs w:val="22"/>
              </w:rPr>
              <w:t>О</w:t>
            </w:r>
            <w:r w:rsidR="000D0B37" w:rsidRPr="00D9062D">
              <w:rPr>
                <w:b/>
                <w:bCs/>
                <w:sz w:val="22"/>
                <w:szCs w:val="22"/>
              </w:rPr>
              <w:t xml:space="preserve"> совершении эмитентом сделки, размер которой составляет 10 или более процентов балансовой стоимости активов эмитента </w:t>
            </w:r>
            <w:r w:rsidR="008F145A" w:rsidRPr="00D9062D">
              <w:rPr>
                <w:b/>
                <w:bCs/>
                <w:sz w:val="22"/>
                <w:szCs w:val="22"/>
              </w:rPr>
              <w:t xml:space="preserve">на </w:t>
            </w:r>
            <w:r w:rsidR="00677D76" w:rsidRPr="00D9062D">
              <w:rPr>
                <w:b/>
                <w:bCs/>
                <w:sz w:val="22"/>
                <w:szCs w:val="22"/>
              </w:rPr>
              <w:t>дату окончания последнего завершенного отчетного периода, предшествующего совершению сделки</w:t>
            </w:r>
          </w:p>
          <w:p w:rsidR="000D0B37" w:rsidRPr="00AA54C1" w:rsidRDefault="00105D8A" w:rsidP="00575A66">
            <w:pPr>
              <w:tabs>
                <w:tab w:val="left" w:pos="567"/>
                <w:tab w:val="left" w:pos="851"/>
              </w:tabs>
              <w:autoSpaceDE w:val="0"/>
              <w:autoSpaceDN w:val="0"/>
              <w:ind w:left="142" w:right="113"/>
              <w:jc w:val="both"/>
              <w:rPr>
                <w:b/>
                <w:i/>
                <w:sz w:val="22"/>
                <w:szCs w:val="22"/>
              </w:rPr>
            </w:pPr>
            <w:r>
              <w:rPr>
                <w:sz w:val="22"/>
                <w:szCs w:val="22"/>
              </w:rPr>
              <w:t xml:space="preserve">2.1. </w:t>
            </w:r>
            <w:r w:rsidR="0009398B" w:rsidRPr="00105D8A">
              <w:rPr>
                <w:sz w:val="22"/>
                <w:szCs w:val="22"/>
              </w:rPr>
              <w:t>В</w:t>
            </w:r>
            <w:r w:rsidR="00635D49" w:rsidRPr="00105D8A">
              <w:rPr>
                <w:sz w:val="22"/>
                <w:szCs w:val="22"/>
              </w:rPr>
              <w:t>ид организации,</w:t>
            </w:r>
            <w:r w:rsidR="00635D49">
              <w:rPr>
                <w:sz w:val="22"/>
              </w:rPr>
              <w:t xml:space="preserve"> которая совершила существенную сделку (эмитент; лицо, предоставившее обеспечение по облигациям эмитента)</w:t>
            </w:r>
            <w:r w:rsidR="00AF1EF1" w:rsidRPr="00AA54C1">
              <w:rPr>
                <w:sz w:val="22"/>
                <w:szCs w:val="22"/>
              </w:rPr>
              <w:t xml:space="preserve">: </w:t>
            </w:r>
            <w:r w:rsidR="00AF1EF1" w:rsidRPr="00AA54C1">
              <w:rPr>
                <w:b/>
                <w:i/>
                <w:sz w:val="22"/>
                <w:szCs w:val="22"/>
              </w:rPr>
              <w:t>эмитент.</w:t>
            </w:r>
          </w:p>
          <w:p w:rsidR="007B0278" w:rsidRPr="007870CB" w:rsidRDefault="00E64DD6" w:rsidP="00AC5506">
            <w:pPr>
              <w:autoSpaceDE w:val="0"/>
              <w:autoSpaceDN w:val="0"/>
              <w:ind w:left="142" w:right="113"/>
              <w:jc w:val="both"/>
              <w:rPr>
                <w:b/>
                <w:i/>
                <w:sz w:val="22"/>
                <w:szCs w:val="22"/>
                <w:highlight w:val="yellow"/>
              </w:rPr>
            </w:pPr>
            <w:r w:rsidRPr="00AA54C1">
              <w:rPr>
                <w:sz w:val="22"/>
                <w:szCs w:val="22"/>
              </w:rPr>
              <w:t>2.</w:t>
            </w:r>
            <w:r w:rsidR="00607151" w:rsidRPr="00AA54C1">
              <w:rPr>
                <w:sz w:val="22"/>
                <w:szCs w:val="22"/>
              </w:rPr>
              <w:t>2</w:t>
            </w:r>
            <w:r w:rsidRPr="00AA54C1">
              <w:rPr>
                <w:sz w:val="22"/>
                <w:szCs w:val="22"/>
              </w:rPr>
              <w:t xml:space="preserve">. </w:t>
            </w:r>
            <w:r w:rsidR="0009398B">
              <w:rPr>
                <w:sz w:val="22"/>
              </w:rPr>
              <w:t>К</w:t>
            </w:r>
            <w:r w:rsidR="00635D49">
              <w:rPr>
                <w:sz w:val="22"/>
              </w:rPr>
              <w:t>атегория сделки (существенная сделка, не являющаяся крупной; крупная сделка; сделка, в совершении которой имелась заинтересованность; крупная сделка, которая одновременно является сделкой, в совершении которой имелась заинтересованность)</w:t>
            </w:r>
            <w:r w:rsidR="007D4046" w:rsidRPr="00AA54C1">
              <w:rPr>
                <w:sz w:val="22"/>
                <w:szCs w:val="22"/>
              </w:rPr>
              <w:t xml:space="preserve">: </w:t>
            </w:r>
            <w:r w:rsidR="005F6D6D" w:rsidRPr="00165BEC">
              <w:rPr>
                <w:b/>
                <w:i/>
                <w:sz w:val="22"/>
                <w:szCs w:val="22"/>
              </w:rPr>
              <w:t>крупная</w:t>
            </w:r>
            <w:r w:rsidR="005F6D6D" w:rsidRPr="00165BEC">
              <w:rPr>
                <w:sz w:val="22"/>
                <w:szCs w:val="22"/>
              </w:rPr>
              <w:t xml:space="preserve"> </w:t>
            </w:r>
            <w:r w:rsidR="005F6D6D" w:rsidRPr="00165BEC">
              <w:rPr>
                <w:b/>
                <w:i/>
                <w:sz w:val="22"/>
                <w:szCs w:val="22"/>
              </w:rPr>
              <w:t>сделка (несколько взаимосвязанных сделок)</w:t>
            </w:r>
            <w:r w:rsidR="003F2BCF" w:rsidRPr="00165BEC">
              <w:rPr>
                <w:b/>
                <w:i/>
                <w:sz w:val="22"/>
                <w:szCs w:val="22"/>
              </w:rPr>
              <w:t>.</w:t>
            </w:r>
          </w:p>
          <w:p w:rsidR="00EA1637" w:rsidRPr="00AA54C1" w:rsidRDefault="007D4046" w:rsidP="005F4541">
            <w:pPr>
              <w:autoSpaceDE w:val="0"/>
              <w:autoSpaceDN w:val="0"/>
              <w:ind w:left="142" w:right="113"/>
              <w:jc w:val="both"/>
              <w:rPr>
                <w:b/>
                <w:i/>
                <w:sz w:val="22"/>
                <w:szCs w:val="22"/>
              </w:rPr>
            </w:pPr>
            <w:r w:rsidRPr="004E299D">
              <w:rPr>
                <w:sz w:val="22"/>
                <w:szCs w:val="22"/>
              </w:rPr>
              <w:t>2.</w:t>
            </w:r>
            <w:r w:rsidR="00607151" w:rsidRPr="004E299D">
              <w:rPr>
                <w:sz w:val="22"/>
                <w:szCs w:val="22"/>
              </w:rPr>
              <w:t>3</w:t>
            </w:r>
            <w:r w:rsidRPr="004E299D">
              <w:rPr>
                <w:sz w:val="22"/>
                <w:szCs w:val="22"/>
              </w:rPr>
              <w:t xml:space="preserve">. Вид и предмет сделки: </w:t>
            </w:r>
            <w:r w:rsidR="005F6D6D" w:rsidRPr="004E299D">
              <w:rPr>
                <w:b/>
                <w:i/>
                <w:sz w:val="22"/>
                <w:szCs w:val="22"/>
              </w:rPr>
              <w:t xml:space="preserve">договор займа, соглашение о подписке, агентский договор и иные соглашения и документы, заключаемые и совершаемые </w:t>
            </w:r>
            <w:r w:rsidR="002304A7">
              <w:rPr>
                <w:b/>
                <w:i/>
                <w:sz w:val="22"/>
                <w:szCs w:val="22"/>
              </w:rPr>
              <w:t>ПАО «ФосАгро»</w:t>
            </w:r>
            <w:r w:rsidR="002304A7" w:rsidRPr="004E299D">
              <w:rPr>
                <w:b/>
                <w:i/>
                <w:sz w:val="22"/>
                <w:szCs w:val="22"/>
              </w:rPr>
              <w:t xml:space="preserve"> </w:t>
            </w:r>
            <w:r w:rsidR="005F6D6D" w:rsidRPr="004E299D">
              <w:rPr>
                <w:b/>
                <w:i/>
                <w:sz w:val="22"/>
                <w:szCs w:val="22"/>
              </w:rPr>
              <w:t>в связи</w:t>
            </w:r>
            <w:r w:rsidR="00A86F4B">
              <w:rPr>
                <w:b/>
                <w:i/>
                <w:sz w:val="22"/>
                <w:szCs w:val="22"/>
              </w:rPr>
              <w:t xml:space="preserve"> со сделкой по привлечению финансирования</w:t>
            </w:r>
            <w:r w:rsidR="005F6D6D" w:rsidRPr="004E299D">
              <w:rPr>
                <w:b/>
                <w:i/>
                <w:sz w:val="22"/>
                <w:szCs w:val="22"/>
              </w:rPr>
              <w:t>.</w:t>
            </w:r>
          </w:p>
          <w:p w:rsidR="00E7386E" w:rsidRPr="005B6697" w:rsidRDefault="00E64DD6" w:rsidP="00936FE8">
            <w:pPr>
              <w:pStyle w:val="10"/>
              <w:ind w:left="142" w:right="114"/>
              <w:jc w:val="both"/>
              <w:rPr>
                <w:b/>
                <w:i/>
                <w:sz w:val="22"/>
                <w:szCs w:val="22"/>
              </w:rPr>
            </w:pPr>
            <w:r w:rsidRPr="00AA54C1">
              <w:rPr>
                <w:sz w:val="22"/>
                <w:szCs w:val="22"/>
              </w:rPr>
              <w:t>2.</w:t>
            </w:r>
            <w:r w:rsidR="00607151" w:rsidRPr="00AA54C1">
              <w:rPr>
                <w:sz w:val="22"/>
                <w:szCs w:val="22"/>
              </w:rPr>
              <w:t>4</w:t>
            </w:r>
            <w:r w:rsidRPr="00AA54C1">
              <w:rPr>
                <w:sz w:val="22"/>
                <w:szCs w:val="22"/>
              </w:rPr>
              <w:t>.</w:t>
            </w:r>
            <w:r w:rsidR="007D4046" w:rsidRPr="00AA54C1">
              <w:rPr>
                <w:sz w:val="22"/>
                <w:szCs w:val="22"/>
              </w:rPr>
              <w:t xml:space="preserve"> </w:t>
            </w:r>
            <w:r w:rsidR="0009398B">
              <w:rPr>
                <w:sz w:val="22"/>
              </w:rPr>
              <w:t>С</w:t>
            </w:r>
            <w:r w:rsidR="00635D49">
              <w:rPr>
                <w:sz w:val="22"/>
              </w:rPr>
              <w:t>одержание сделки, в том числе гражданские права и обязанности, на установление, изменение или прекращение которых направлена совершенная сделка</w:t>
            </w:r>
            <w:r w:rsidR="00BE1D28" w:rsidRPr="002A4C4E">
              <w:rPr>
                <w:sz w:val="22"/>
                <w:szCs w:val="22"/>
              </w:rPr>
              <w:t>:</w:t>
            </w:r>
            <w:r w:rsidR="00936FE8" w:rsidRPr="002A4C4E">
              <w:rPr>
                <w:b/>
                <w:i/>
                <w:sz w:val="22"/>
                <w:szCs w:val="22"/>
              </w:rPr>
              <w:t xml:space="preserve"> </w:t>
            </w:r>
            <w:r w:rsidR="005F6D6D" w:rsidRPr="002A4C4E">
              <w:rPr>
                <w:b/>
                <w:i/>
                <w:sz w:val="22"/>
                <w:szCs w:val="22"/>
              </w:rPr>
              <w:t>привлечение ПАО «ФосАгро» займа</w:t>
            </w:r>
            <w:r w:rsidR="002A4C4E" w:rsidRPr="002A4C4E">
              <w:rPr>
                <w:b/>
                <w:i/>
                <w:sz w:val="22"/>
                <w:szCs w:val="22"/>
              </w:rPr>
              <w:t xml:space="preserve"> от</w:t>
            </w:r>
            <w:r w:rsidR="005F6D6D" w:rsidRPr="002A4C4E">
              <w:rPr>
                <w:b/>
                <w:i/>
                <w:sz w:val="22"/>
                <w:szCs w:val="22"/>
              </w:rPr>
              <w:t xml:space="preserve"> компани</w:t>
            </w:r>
            <w:r w:rsidR="002A4C4E" w:rsidRPr="002A4C4E">
              <w:rPr>
                <w:b/>
                <w:i/>
                <w:sz w:val="22"/>
                <w:szCs w:val="22"/>
              </w:rPr>
              <w:t>и</w:t>
            </w:r>
            <w:r w:rsidR="005F6D6D" w:rsidRPr="002A4C4E">
              <w:rPr>
                <w:b/>
                <w:i/>
                <w:sz w:val="22"/>
                <w:szCs w:val="22"/>
              </w:rPr>
              <w:t xml:space="preserve"> Phos</w:t>
            </w:r>
            <w:r w:rsidR="005F6D6D" w:rsidRPr="002A4C4E">
              <w:rPr>
                <w:b/>
                <w:i/>
                <w:sz w:val="22"/>
                <w:szCs w:val="22"/>
                <w:lang w:val="en-GB"/>
              </w:rPr>
              <w:t>A</w:t>
            </w:r>
            <w:r w:rsidR="005F6D6D" w:rsidRPr="002A4C4E">
              <w:rPr>
                <w:b/>
                <w:i/>
                <w:sz w:val="22"/>
                <w:szCs w:val="22"/>
              </w:rPr>
              <w:t xml:space="preserve">gro Bond Funding Designated Activity Company, обязательства по которому </w:t>
            </w:r>
            <w:r w:rsidR="006E2EF3">
              <w:rPr>
                <w:b/>
                <w:i/>
                <w:sz w:val="22"/>
                <w:szCs w:val="22"/>
              </w:rPr>
              <w:t xml:space="preserve">будут </w:t>
            </w:r>
            <w:r w:rsidR="005F6D6D" w:rsidRPr="002A4C4E">
              <w:rPr>
                <w:b/>
                <w:i/>
                <w:sz w:val="22"/>
                <w:szCs w:val="22"/>
              </w:rPr>
              <w:t xml:space="preserve">гарантированы Акционерным обществом "Апатит", финансируемого посредством выпуска и размещения </w:t>
            </w:r>
            <w:r w:rsidR="005F6D6D" w:rsidRPr="00ED7D23">
              <w:rPr>
                <w:b/>
                <w:i/>
                <w:sz w:val="22"/>
                <w:szCs w:val="22"/>
              </w:rPr>
              <w:t>Phos</w:t>
            </w:r>
            <w:r w:rsidR="005F6D6D" w:rsidRPr="00ED7D23">
              <w:rPr>
                <w:b/>
                <w:i/>
                <w:sz w:val="22"/>
                <w:szCs w:val="22"/>
                <w:lang w:val="en-GB"/>
              </w:rPr>
              <w:t>A</w:t>
            </w:r>
            <w:r w:rsidR="005F6D6D" w:rsidRPr="00ED7D23">
              <w:rPr>
                <w:b/>
                <w:i/>
                <w:sz w:val="22"/>
                <w:szCs w:val="22"/>
              </w:rPr>
              <w:t>gro Bond Funding Designated Activity Company на международных рынках капитала облигаций уч</w:t>
            </w:r>
            <w:r w:rsidR="005F6D6D" w:rsidRPr="002A4C4E">
              <w:rPr>
                <w:b/>
                <w:i/>
                <w:sz w:val="22"/>
                <w:szCs w:val="22"/>
              </w:rPr>
              <w:t>астия в займе (еврооблигаций).</w:t>
            </w:r>
            <w:r w:rsidR="00E7386E" w:rsidRPr="005B6697">
              <w:rPr>
                <w:b/>
                <w:i/>
                <w:sz w:val="22"/>
                <w:szCs w:val="22"/>
              </w:rPr>
              <w:t xml:space="preserve"> </w:t>
            </w:r>
          </w:p>
          <w:p w:rsidR="007D4046" w:rsidRPr="005B6697" w:rsidRDefault="007D4046" w:rsidP="00AC5506">
            <w:pPr>
              <w:ind w:left="142" w:right="113"/>
              <w:jc w:val="both"/>
              <w:rPr>
                <w:sz w:val="22"/>
                <w:szCs w:val="22"/>
              </w:rPr>
            </w:pPr>
            <w:r w:rsidRPr="005B6697">
              <w:rPr>
                <w:sz w:val="22"/>
                <w:szCs w:val="22"/>
              </w:rPr>
              <w:lastRenderedPageBreak/>
              <w:t>2.</w:t>
            </w:r>
            <w:r w:rsidR="00607151" w:rsidRPr="005B6697">
              <w:rPr>
                <w:sz w:val="22"/>
                <w:szCs w:val="22"/>
              </w:rPr>
              <w:t>5</w:t>
            </w:r>
            <w:r w:rsidRPr="005B6697">
              <w:rPr>
                <w:sz w:val="22"/>
                <w:szCs w:val="22"/>
              </w:rPr>
              <w:t xml:space="preserve">. </w:t>
            </w:r>
            <w:r w:rsidR="0009398B">
              <w:rPr>
                <w:sz w:val="22"/>
              </w:rPr>
              <w:t>С</w:t>
            </w:r>
            <w:r w:rsidR="00635D49">
              <w:rPr>
                <w:sz w:val="22"/>
              </w:rPr>
              <w:t>рок исполнения обязательств по сделке, стороны и выгодоприобретатели по сделке, размер сделки в денежном выражении и в процентах от стоимости активов эмитента или лица, предоставившего обеспечение по облигациям эмитента, которое совершило сделку</w:t>
            </w:r>
            <w:r w:rsidRPr="005B6697">
              <w:rPr>
                <w:sz w:val="22"/>
                <w:szCs w:val="22"/>
              </w:rPr>
              <w:t>:</w:t>
            </w:r>
          </w:p>
          <w:p w:rsidR="005F4541" w:rsidRPr="00240B8D" w:rsidRDefault="00936FE8" w:rsidP="005F4541">
            <w:pPr>
              <w:tabs>
                <w:tab w:val="left" w:pos="2835"/>
                <w:tab w:val="left" w:pos="10065"/>
              </w:tabs>
              <w:ind w:left="142" w:right="113"/>
              <w:jc w:val="both"/>
              <w:rPr>
                <w:b/>
                <w:i/>
                <w:sz w:val="22"/>
                <w:szCs w:val="22"/>
              </w:rPr>
            </w:pPr>
            <w:r w:rsidRPr="00867473">
              <w:rPr>
                <w:sz w:val="22"/>
                <w:szCs w:val="22"/>
              </w:rPr>
              <w:t>Срок исполнения обязательств по сделке:</w:t>
            </w:r>
            <w:r w:rsidRPr="00867473">
              <w:rPr>
                <w:i/>
                <w:sz w:val="22"/>
                <w:szCs w:val="22"/>
              </w:rPr>
              <w:t xml:space="preserve"> </w:t>
            </w:r>
            <w:r w:rsidR="00914AB0" w:rsidRPr="00240B8D">
              <w:rPr>
                <w:b/>
                <w:i/>
                <w:sz w:val="22"/>
                <w:szCs w:val="22"/>
              </w:rPr>
              <w:t>16</w:t>
            </w:r>
            <w:r w:rsidR="005F6D6D" w:rsidRPr="00240B8D">
              <w:rPr>
                <w:b/>
                <w:i/>
                <w:sz w:val="22"/>
                <w:szCs w:val="22"/>
              </w:rPr>
              <w:t xml:space="preserve"> </w:t>
            </w:r>
            <w:r w:rsidR="00ED7D23" w:rsidRPr="00240B8D">
              <w:rPr>
                <w:b/>
                <w:i/>
                <w:sz w:val="22"/>
                <w:szCs w:val="22"/>
              </w:rPr>
              <w:t xml:space="preserve">сентября </w:t>
            </w:r>
            <w:r w:rsidR="005F6D6D" w:rsidRPr="00240B8D">
              <w:rPr>
                <w:b/>
                <w:i/>
                <w:sz w:val="22"/>
                <w:szCs w:val="22"/>
              </w:rPr>
              <w:t>20</w:t>
            </w:r>
            <w:r w:rsidR="00465E04" w:rsidRPr="00240B8D">
              <w:rPr>
                <w:b/>
                <w:i/>
                <w:sz w:val="22"/>
                <w:szCs w:val="22"/>
              </w:rPr>
              <w:t>2</w:t>
            </w:r>
            <w:r w:rsidR="00ED7D23" w:rsidRPr="00240B8D">
              <w:rPr>
                <w:b/>
                <w:i/>
                <w:sz w:val="22"/>
                <w:szCs w:val="22"/>
              </w:rPr>
              <w:t xml:space="preserve">8 </w:t>
            </w:r>
            <w:r w:rsidR="005F6D6D" w:rsidRPr="00240B8D">
              <w:rPr>
                <w:b/>
                <w:i/>
                <w:sz w:val="22"/>
                <w:szCs w:val="22"/>
              </w:rPr>
              <w:t>г.</w:t>
            </w:r>
          </w:p>
          <w:p w:rsidR="005F4541" w:rsidRPr="005F6D6D" w:rsidRDefault="00936FE8" w:rsidP="005F4541">
            <w:pPr>
              <w:tabs>
                <w:tab w:val="left" w:pos="2835"/>
                <w:tab w:val="left" w:pos="10065"/>
              </w:tabs>
              <w:ind w:left="142" w:right="113"/>
              <w:jc w:val="both"/>
              <w:rPr>
                <w:b/>
                <w:i/>
                <w:sz w:val="22"/>
                <w:szCs w:val="22"/>
                <w:lang w:val="en-US"/>
              </w:rPr>
            </w:pPr>
            <w:r w:rsidRPr="006C30D9">
              <w:rPr>
                <w:sz w:val="22"/>
                <w:szCs w:val="22"/>
              </w:rPr>
              <w:t>Стороны</w:t>
            </w:r>
            <w:r w:rsidRPr="006C30D9">
              <w:rPr>
                <w:sz w:val="22"/>
                <w:szCs w:val="22"/>
                <w:lang w:val="en-US"/>
              </w:rPr>
              <w:t xml:space="preserve"> </w:t>
            </w:r>
            <w:r w:rsidR="004D4A3F" w:rsidRPr="006C30D9">
              <w:rPr>
                <w:sz w:val="22"/>
                <w:szCs w:val="22"/>
              </w:rPr>
              <w:t>и</w:t>
            </w:r>
            <w:r w:rsidR="004D4A3F" w:rsidRPr="006C30D9">
              <w:rPr>
                <w:sz w:val="22"/>
                <w:szCs w:val="22"/>
                <w:lang w:val="en-US"/>
              </w:rPr>
              <w:t xml:space="preserve"> </w:t>
            </w:r>
            <w:r w:rsidR="004D4A3F" w:rsidRPr="006C30D9">
              <w:rPr>
                <w:sz w:val="22"/>
                <w:szCs w:val="22"/>
              </w:rPr>
              <w:t>выгодоприобретатели</w:t>
            </w:r>
            <w:r w:rsidR="004D4A3F" w:rsidRPr="006C30D9">
              <w:rPr>
                <w:sz w:val="22"/>
                <w:szCs w:val="22"/>
                <w:lang w:val="en-US"/>
              </w:rPr>
              <w:t xml:space="preserve"> </w:t>
            </w:r>
            <w:r w:rsidRPr="006C30D9">
              <w:rPr>
                <w:sz w:val="22"/>
                <w:szCs w:val="22"/>
              </w:rPr>
              <w:t>по</w:t>
            </w:r>
            <w:r w:rsidRPr="006C30D9">
              <w:rPr>
                <w:sz w:val="22"/>
                <w:szCs w:val="22"/>
                <w:lang w:val="en-US"/>
              </w:rPr>
              <w:t xml:space="preserve"> </w:t>
            </w:r>
            <w:r w:rsidRPr="006C30D9">
              <w:rPr>
                <w:sz w:val="22"/>
                <w:szCs w:val="22"/>
              </w:rPr>
              <w:t>сделке</w:t>
            </w:r>
            <w:r w:rsidRPr="006C30D9">
              <w:rPr>
                <w:sz w:val="22"/>
                <w:szCs w:val="22"/>
                <w:lang w:val="en-US"/>
              </w:rPr>
              <w:t>:</w:t>
            </w:r>
            <w:r w:rsidR="005F4541" w:rsidRPr="006C30D9">
              <w:rPr>
                <w:b/>
                <w:i/>
                <w:sz w:val="22"/>
                <w:szCs w:val="22"/>
                <w:lang w:val="en-US"/>
              </w:rPr>
              <w:t xml:space="preserve"> </w:t>
            </w:r>
            <w:r w:rsidR="005F6D6D" w:rsidRPr="00B00E8F">
              <w:rPr>
                <w:b/>
                <w:i/>
                <w:sz w:val="22"/>
                <w:szCs w:val="22"/>
              </w:rPr>
              <w:t>П</w:t>
            </w:r>
            <w:r w:rsidR="005F6D6D" w:rsidRPr="00B00E8F">
              <w:rPr>
                <w:b/>
                <w:bCs/>
                <w:i/>
                <w:sz w:val="22"/>
                <w:szCs w:val="22"/>
              </w:rPr>
              <w:t>АО</w:t>
            </w:r>
            <w:r w:rsidR="005F6D6D" w:rsidRPr="00B00E8F">
              <w:rPr>
                <w:b/>
                <w:bCs/>
                <w:i/>
                <w:sz w:val="22"/>
                <w:szCs w:val="22"/>
                <w:lang w:val="en-US"/>
              </w:rPr>
              <w:t xml:space="preserve"> «</w:t>
            </w:r>
            <w:r w:rsidR="005F6D6D" w:rsidRPr="00B00E8F">
              <w:rPr>
                <w:b/>
                <w:bCs/>
                <w:i/>
                <w:sz w:val="22"/>
                <w:szCs w:val="22"/>
              </w:rPr>
              <w:t>ФосАгро</w:t>
            </w:r>
            <w:r w:rsidR="005F6D6D" w:rsidRPr="00B00E8F">
              <w:rPr>
                <w:b/>
                <w:bCs/>
                <w:i/>
                <w:sz w:val="22"/>
                <w:szCs w:val="22"/>
                <w:lang w:val="en-US"/>
              </w:rPr>
              <w:t>»,</w:t>
            </w:r>
            <w:r w:rsidR="005F6D6D" w:rsidRPr="00B00E8F">
              <w:rPr>
                <w:sz w:val="22"/>
                <w:szCs w:val="22"/>
                <w:lang w:val="en-US"/>
              </w:rPr>
              <w:t xml:space="preserve"> </w:t>
            </w:r>
            <w:r w:rsidR="00966DA5" w:rsidRPr="00B00E8F">
              <w:rPr>
                <w:b/>
                <w:i/>
                <w:sz w:val="22"/>
                <w:szCs w:val="22"/>
                <w:lang w:val="en-US"/>
              </w:rPr>
              <w:t xml:space="preserve">PhosAgro Bond Funding Designated Activity Company, </w:t>
            </w:r>
            <w:r w:rsidR="005F6D6D" w:rsidRPr="00B00E8F">
              <w:rPr>
                <w:b/>
                <w:i/>
                <w:sz w:val="22"/>
                <w:szCs w:val="22"/>
              </w:rPr>
              <w:t>АО</w:t>
            </w:r>
            <w:r w:rsidR="005F6D6D" w:rsidRPr="00B00E8F">
              <w:rPr>
                <w:b/>
                <w:i/>
                <w:sz w:val="22"/>
                <w:szCs w:val="22"/>
                <w:lang w:val="en-US"/>
              </w:rPr>
              <w:t xml:space="preserve"> «</w:t>
            </w:r>
            <w:r w:rsidR="005F6D6D" w:rsidRPr="00B00E8F">
              <w:rPr>
                <w:b/>
                <w:i/>
                <w:sz w:val="22"/>
                <w:szCs w:val="22"/>
              </w:rPr>
              <w:t>Апатит</w:t>
            </w:r>
            <w:r w:rsidR="005F6D6D" w:rsidRPr="00B00E8F">
              <w:rPr>
                <w:b/>
                <w:i/>
                <w:sz w:val="22"/>
                <w:szCs w:val="22"/>
                <w:lang w:val="en-US"/>
              </w:rPr>
              <w:t>»,</w:t>
            </w:r>
            <w:r w:rsidR="00342F32" w:rsidRPr="00B00E8F">
              <w:rPr>
                <w:sz w:val="22"/>
                <w:szCs w:val="22"/>
                <w:lang w:val="en-US"/>
              </w:rPr>
              <w:t xml:space="preserve"> </w:t>
            </w:r>
            <w:r w:rsidR="003B747A" w:rsidRPr="00B00E8F">
              <w:rPr>
                <w:b/>
                <w:i/>
                <w:sz w:val="22"/>
                <w:szCs w:val="22"/>
                <w:lang w:val="en-US"/>
              </w:rPr>
              <w:t>Citigroup Global Markets Limited, Bank GPB International S.A., J.P. Morgan Securities рlс, Merrill Lynch International, Raiffeisen Bank International AG, Renaissance Securities (Cyprus) Limited, Sberbank CIB (UK) Limited, UniCredit Bank AG, VTB Capital рlс</w:t>
            </w:r>
            <w:r w:rsidR="005F6D6D" w:rsidRPr="00B00E8F">
              <w:rPr>
                <w:b/>
                <w:i/>
                <w:sz w:val="22"/>
                <w:szCs w:val="22"/>
                <w:lang w:val="en-US"/>
              </w:rPr>
              <w:t>.</w:t>
            </w:r>
          </w:p>
          <w:p w:rsidR="00912396" w:rsidRPr="00DE6FB7" w:rsidRDefault="00936FE8" w:rsidP="00912396">
            <w:pPr>
              <w:tabs>
                <w:tab w:val="left" w:pos="2835"/>
                <w:tab w:val="left" w:pos="10065"/>
              </w:tabs>
              <w:ind w:left="142" w:right="113"/>
              <w:jc w:val="both"/>
              <w:rPr>
                <w:b/>
                <w:i/>
                <w:sz w:val="22"/>
                <w:szCs w:val="22"/>
              </w:rPr>
            </w:pPr>
            <w:r w:rsidRPr="00867473">
              <w:rPr>
                <w:sz w:val="22"/>
                <w:szCs w:val="22"/>
              </w:rPr>
              <w:t>Размер сделки в денежном выражении и в процентах от стоимости активов эмитента</w:t>
            </w:r>
            <w:r w:rsidRPr="00240B8D">
              <w:rPr>
                <w:sz w:val="22"/>
                <w:szCs w:val="22"/>
              </w:rPr>
              <w:t>:</w:t>
            </w:r>
            <w:r w:rsidRPr="00240B8D">
              <w:rPr>
                <w:b/>
                <w:i/>
                <w:sz w:val="22"/>
                <w:szCs w:val="22"/>
              </w:rPr>
              <w:t xml:space="preserve"> </w:t>
            </w:r>
            <w:r w:rsidR="00914AB0" w:rsidRPr="00240B8D">
              <w:rPr>
                <w:b/>
                <w:i/>
                <w:sz w:val="22"/>
                <w:szCs w:val="22"/>
              </w:rPr>
              <w:t>591</w:t>
            </w:r>
            <w:r w:rsidR="00914AB0" w:rsidRPr="00240B8D">
              <w:rPr>
                <w:b/>
                <w:i/>
                <w:sz w:val="22"/>
                <w:szCs w:val="22"/>
                <w:lang w:val="en-US"/>
              </w:rPr>
              <w:t> </w:t>
            </w:r>
            <w:r w:rsidR="00914AB0" w:rsidRPr="00240B8D">
              <w:rPr>
                <w:b/>
                <w:i/>
                <w:sz w:val="22"/>
                <w:szCs w:val="22"/>
              </w:rPr>
              <w:t>000</w:t>
            </w:r>
            <w:r w:rsidR="00914AB0" w:rsidRPr="00240B8D">
              <w:rPr>
                <w:b/>
                <w:i/>
                <w:sz w:val="22"/>
                <w:szCs w:val="22"/>
                <w:lang w:val="en-US"/>
              </w:rPr>
              <w:t> </w:t>
            </w:r>
            <w:r w:rsidR="00914AB0" w:rsidRPr="00240B8D">
              <w:rPr>
                <w:b/>
                <w:i/>
                <w:sz w:val="22"/>
                <w:szCs w:val="22"/>
              </w:rPr>
              <w:t xml:space="preserve">000 </w:t>
            </w:r>
            <w:r w:rsidR="00787C2D" w:rsidRPr="00240B8D">
              <w:rPr>
                <w:b/>
                <w:i/>
                <w:sz w:val="22"/>
                <w:szCs w:val="22"/>
              </w:rPr>
              <w:t xml:space="preserve">        </w:t>
            </w:r>
            <w:r w:rsidR="005F6D6D" w:rsidRPr="00240B8D">
              <w:rPr>
                <w:b/>
                <w:i/>
                <w:sz w:val="22"/>
                <w:szCs w:val="22"/>
              </w:rPr>
              <w:t>(</w:t>
            </w:r>
            <w:r w:rsidR="00914AB0" w:rsidRPr="00240B8D">
              <w:rPr>
                <w:b/>
                <w:i/>
                <w:sz w:val="22"/>
                <w:szCs w:val="22"/>
              </w:rPr>
              <w:t>Пятьсот девяносто один миллион</w:t>
            </w:r>
            <w:r w:rsidR="005F6D6D" w:rsidRPr="00240B8D">
              <w:rPr>
                <w:b/>
                <w:i/>
                <w:sz w:val="22"/>
                <w:szCs w:val="22"/>
              </w:rPr>
              <w:t>) долларов США</w:t>
            </w:r>
            <w:r w:rsidR="00AD5094" w:rsidRPr="00240B8D">
              <w:rPr>
                <w:b/>
                <w:i/>
                <w:sz w:val="22"/>
                <w:szCs w:val="22"/>
              </w:rPr>
              <w:t xml:space="preserve">, </w:t>
            </w:r>
            <w:r w:rsidR="006D79E0" w:rsidRPr="00240B8D">
              <w:rPr>
                <w:b/>
                <w:i/>
                <w:sz w:val="22"/>
                <w:szCs w:val="22"/>
              </w:rPr>
              <w:t>00</w:t>
            </w:r>
            <w:r w:rsidR="00AD5094" w:rsidRPr="00240B8D">
              <w:rPr>
                <w:b/>
                <w:i/>
                <w:sz w:val="22"/>
                <w:szCs w:val="22"/>
              </w:rPr>
              <w:t xml:space="preserve"> центов</w:t>
            </w:r>
            <w:r w:rsidR="005F6D6D" w:rsidRPr="00240B8D">
              <w:rPr>
                <w:b/>
                <w:i/>
                <w:sz w:val="22"/>
                <w:szCs w:val="22"/>
              </w:rPr>
              <w:t>; что составляет</w:t>
            </w:r>
            <w:r w:rsidR="00240B8D" w:rsidRPr="00240B8D">
              <w:rPr>
                <w:b/>
                <w:i/>
                <w:sz w:val="22"/>
                <w:szCs w:val="22"/>
              </w:rPr>
              <w:t xml:space="preserve"> </w:t>
            </w:r>
            <w:r w:rsidR="00914AB0" w:rsidRPr="00240B8D">
              <w:rPr>
                <w:b/>
                <w:i/>
                <w:sz w:val="22"/>
                <w:szCs w:val="22"/>
              </w:rPr>
              <w:t>29,</w:t>
            </w:r>
            <w:r w:rsidR="006D79E0" w:rsidRPr="00240B8D">
              <w:rPr>
                <w:b/>
                <w:i/>
                <w:sz w:val="22"/>
                <w:szCs w:val="22"/>
              </w:rPr>
              <w:t>90</w:t>
            </w:r>
            <w:r w:rsidR="005F6D6D" w:rsidRPr="00240B8D">
              <w:rPr>
                <w:b/>
                <w:i/>
                <w:sz w:val="22"/>
                <w:szCs w:val="22"/>
              </w:rPr>
              <w:t xml:space="preserve"> % от стоимости активов эмитента.</w:t>
            </w:r>
          </w:p>
          <w:p w:rsidR="008F7243" w:rsidRPr="005B6697" w:rsidRDefault="007D4046" w:rsidP="00A3036B">
            <w:pPr>
              <w:autoSpaceDE w:val="0"/>
              <w:autoSpaceDN w:val="0"/>
              <w:ind w:left="142" w:right="114"/>
              <w:jc w:val="both"/>
              <w:rPr>
                <w:b/>
                <w:i/>
                <w:sz w:val="22"/>
                <w:szCs w:val="22"/>
              </w:rPr>
            </w:pPr>
            <w:r w:rsidRPr="00DE6FB7">
              <w:rPr>
                <w:sz w:val="22"/>
                <w:szCs w:val="22"/>
              </w:rPr>
              <w:t>2.</w:t>
            </w:r>
            <w:r w:rsidR="00607151" w:rsidRPr="00DE6FB7">
              <w:rPr>
                <w:sz w:val="22"/>
                <w:szCs w:val="22"/>
              </w:rPr>
              <w:t>6</w:t>
            </w:r>
            <w:r w:rsidRPr="00DE6FB7">
              <w:rPr>
                <w:sz w:val="22"/>
                <w:szCs w:val="22"/>
              </w:rPr>
              <w:t xml:space="preserve">. </w:t>
            </w:r>
            <w:r w:rsidR="0009398B">
              <w:rPr>
                <w:sz w:val="22"/>
              </w:rPr>
              <w:t>С</w:t>
            </w:r>
            <w:r w:rsidR="00635D49">
              <w:rPr>
                <w:sz w:val="22"/>
              </w:rPr>
              <w:t>тоимость активов эмитента или лица, предоставившего обеспечение по облигациям эмитента, которое совершило сделку, на дату окончания последнего завершенного отчетного периода, предшествующего совершению сделки (заключению договора</w:t>
            </w:r>
            <w:r w:rsidR="00635D49" w:rsidRPr="00F11979">
              <w:rPr>
                <w:sz w:val="22"/>
              </w:rPr>
              <w:t>)</w:t>
            </w:r>
            <w:r w:rsidRPr="00F11979">
              <w:rPr>
                <w:sz w:val="22"/>
                <w:szCs w:val="22"/>
              </w:rPr>
              <w:t>:</w:t>
            </w:r>
            <w:r w:rsidR="00846811" w:rsidRPr="00F11979">
              <w:rPr>
                <w:sz w:val="22"/>
                <w:szCs w:val="22"/>
              </w:rPr>
              <w:t xml:space="preserve"> </w:t>
            </w:r>
            <w:r w:rsidR="00B80988" w:rsidRPr="00F11979">
              <w:rPr>
                <w:b/>
                <w:i/>
                <w:sz w:val="22"/>
                <w:szCs w:val="22"/>
              </w:rPr>
              <w:t>стоимость активов</w:t>
            </w:r>
            <w:r w:rsidR="00B80988" w:rsidRPr="00F11979">
              <w:rPr>
                <w:sz w:val="22"/>
                <w:szCs w:val="22"/>
              </w:rPr>
              <w:t xml:space="preserve"> </w:t>
            </w:r>
            <w:r w:rsidR="00803DCD" w:rsidRPr="00803DCD">
              <w:rPr>
                <w:b/>
                <w:i/>
                <w:sz w:val="22"/>
                <w:szCs w:val="22"/>
              </w:rPr>
              <w:t>эмитента</w:t>
            </w:r>
            <w:r w:rsidR="00803DCD">
              <w:rPr>
                <w:sz w:val="22"/>
                <w:szCs w:val="22"/>
              </w:rPr>
              <w:t xml:space="preserve"> </w:t>
            </w:r>
            <w:r w:rsidR="00B80988" w:rsidRPr="00F11979">
              <w:rPr>
                <w:b/>
                <w:i/>
                <w:sz w:val="22"/>
                <w:szCs w:val="22"/>
              </w:rPr>
              <w:t xml:space="preserve">на </w:t>
            </w:r>
            <w:r w:rsidR="00803DCD">
              <w:rPr>
                <w:b/>
                <w:i/>
                <w:sz w:val="22"/>
                <w:szCs w:val="22"/>
              </w:rPr>
              <w:t>30 июня 2021</w:t>
            </w:r>
            <w:r w:rsidR="00B80988" w:rsidRPr="00F11979">
              <w:rPr>
                <w:b/>
                <w:i/>
                <w:sz w:val="22"/>
                <w:szCs w:val="22"/>
              </w:rPr>
              <w:t xml:space="preserve"> года</w:t>
            </w:r>
            <w:r w:rsidR="00B80988" w:rsidRPr="00F11979">
              <w:rPr>
                <w:sz w:val="22"/>
                <w:szCs w:val="22"/>
              </w:rPr>
              <w:t xml:space="preserve"> – </w:t>
            </w:r>
            <w:r w:rsidR="00803DCD">
              <w:rPr>
                <w:b/>
                <w:i/>
                <w:sz w:val="22"/>
                <w:szCs w:val="22"/>
              </w:rPr>
              <w:t>144 462 745</w:t>
            </w:r>
            <w:r w:rsidR="00B80988" w:rsidRPr="00F11979">
              <w:rPr>
                <w:b/>
                <w:i/>
                <w:sz w:val="22"/>
                <w:szCs w:val="22"/>
              </w:rPr>
              <w:t xml:space="preserve"> тыс. руб.</w:t>
            </w:r>
          </w:p>
          <w:p w:rsidR="007D4046" w:rsidRPr="005B6697" w:rsidRDefault="007D4046" w:rsidP="00062FEE">
            <w:pPr>
              <w:autoSpaceDE w:val="0"/>
              <w:autoSpaceDN w:val="0"/>
              <w:ind w:left="142" w:right="114"/>
              <w:jc w:val="both"/>
              <w:rPr>
                <w:b/>
                <w:i/>
                <w:sz w:val="22"/>
                <w:szCs w:val="22"/>
              </w:rPr>
            </w:pPr>
            <w:r w:rsidRPr="005B6697">
              <w:rPr>
                <w:sz w:val="22"/>
                <w:szCs w:val="22"/>
              </w:rPr>
              <w:t>2.</w:t>
            </w:r>
            <w:r w:rsidR="000610D7" w:rsidRPr="005B6697">
              <w:rPr>
                <w:sz w:val="22"/>
                <w:szCs w:val="22"/>
              </w:rPr>
              <w:t>7</w:t>
            </w:r>
            <w:r w:rsidRPr="005B6697">
              <w:rPr>
                <w:sz w:val="22"/>
                <w:szCs w:val="22"/>
              </w:rPr>
              <w:t xml:space="preserve">. </w:t>
            </w:r>
            <w:r w:rsidR="0009398B">
              <w:rPr>
                <w:sz w:val="22"/>
              </w:rPr>
              <w:t>Д</w:t>
            </w:r>
            <w:r w:rsidR="00635D49">
              <w:rPr>
                <w:sz w:val="22"/>
              </w:rPr>
              <w:t xml:space="preserve">ата совершения сделки (заключения </w:t>
            </w:r>
            <w:r w:rsidR="00635D49" w:rsidRPr="00CF1D13">
              <w:rPr>
                <w:sz w:val="22"/>
              </w:rPr>
              <w:t>договора)</w:t>
            </w:r>
            <w:r w:rsidRPr="00CF1D13">
              <w:rPr>
                <w:sz w:val="22"/>
                <w:szCs w:val="22"/>
              </w:rPr>
              <w:t>:</w:t>
            </w:r>
            <w:r w:rsidR="005A11C3" w:rsidRPr="00CF1D13">
              <w:rPr>
                <w:b/>
                <w:i/>
                <w:sz w:val="22"/>
                <w:szCs w:val="22"/>
              </w:rPr>
              <w:t xml:space="preserve"> </w:t>
            </w:r>
            <w:r w:rsidR="00F8176B">
              <w:rPr>
                <w:b/>
                <w:i/>
                <w:sz w:val="22"/>
                <w:szCs w:val="22"/>
              </w:rPr>
              <w:t xml:space="preserve">14 сентября </w:t>
            </w:r>
            <w:bookmarkStart w:id="0" w:name="_GoBack"/>
            <w:bookmarkEnd w:id="0"/>
            <w:r w:rsidR="002A73D5">
              <w:rPr>
                <w:b/>
                <w:i/>
                <w:sz w:val="22"/>
                <w:szCs w:val="22"/>
              </w:rPr>
              <w:t>2021</w:t>
            </w:r>
            <w:r w:rsidR="00936FE8" w:rsidRPr="00CF1D13">
              <w:rPr>
                <w:b/>
                <w:i/>
                <w:sz w:val="22"/>
                <w:szCs w:val="22"/>
              </w:rPr>
              <w:t xml:space="preserve"> года.</w:t>
            </w:r>
          </w:p>
          <w:p w:rsidR="00446F79" w:rsidRPr="0009398B" w:rsidRDefault="007D4046" w:rsidP="009B46C1">
            <w:pPr>
              <w:pStyle w:val="ConsPlusNormal"/>
              <w:ind w:left="142" w:right="147"/>
              <w:jc w:val="both"/>
              <w:rPr>
                <w:rFonts w:ascii="Times New Roman" w:hAnsi="Times New Roman" w:cs="Times New Roman"/>
                <w:sz w:val="22"/>
              </w:rPr>
            </w:pPr>
            <w:r w:rsidRPr="00566441">
              <w:rPr>
                <w:rFonts w:ascii="Times New Roman" w:hAnsi="Times New Roman" w:cs="Times New Roman"/>
                <w:sz w:val="22"/>
              </w:rPr>
              <w:t>2.</w:t>
            </w:r>
            <w:r w:rsidR="000610D7" w:rsidRPr="00566441">
              <w:rPr>
                <w:rFonts w:ascii="Times New Roman" w:hAnsi="Times New Roman" w:cs="Times New Roman"/>
                <w:sz w:val="22"/>
              </w:rPr>
              <w:t>8</w:t>
            </w:r>
            <w:r w:rsidRPr="00566441">
              <w:rPr>
                <w:rFonts w:ascii="Times New Roman" w:hAnsi="Times New Roman" w:cs="Times New Roman"/>
                <w:sz w:val="22"/>
              </w:rPr>
              <w:t xml:space="preserve">. </w:t>
            </w:r>
            <w:r w:rsidR="0009398B">
              <w:rPr>
                <w:rFonts w:ascii="Times New Roman" w:hAnsi="Times New Roman" w:cs="Times New Roman"/>
                <w:sz w:val="22"/>
              </w:rPr>
              <w:t>С</w:t>
            </w:r>
            <w:r w:rsidR="00635D49" w:rsidRPr="00566441">
              <w:rPr>
                <w:rFonts w:ascii="Times New Roman" w:hAnsi="Times New Roman" w:cs="Times New Roman"/>
                <w:sz w:val="22"/>
              </w:rPr>
              <w:t>ведения о принятии решения о согласии на совершение или о последующем одобрении сделки в случае, когда такое решение было принято уполномоченным органом управления эмитента или лица, предоставившего обеспечение по облигациям эмитента, которое совершило сделку (наименование органа управления организации, принявшего решение о согласии на совершение или о последующем одобрении сделки, дата принятия указанного решения, дата составления и номер протокола собрания (заседания) органа управления организации, на котором принято указанное решение, если оно принималось коллегиальным органом управления организации), или указание на то, что решение о согласии на совершение или о последующем одобрении сделки не принималось</w:t>
            </w:r>
            <w:r w:rsidRPr="00847F74">
              <w:rPr>
                <w:rFonts w:ascii="Times New Roman" w:hAnsi="Times New Roman" w:cs="Times New Roman"/>
                <w:sz w:val="22"/>
              </w:rPr>
              <w:t>:</w:t>
            </w:r>
            <w:r w:rsidR="002A1538" w:rsidRPr="005B6697">
              <w:rPr>
                <w:sz w:val="22"/>
                <w:szCs w:val="22"/>
              </w:rPr>
              <w:t xml:space="preserve"> </w:t>
            </w:r>
            <w:r w:rsidR="00C90778">
              <w:rPr>
                <w:rFonts w:ascii="Times New Roman" w:hAnsi="Times New Roman" w:cs="Times New Roman"/>
                <w:b/>
                <w:i/>
                <w:sz w:val="22"/>
                <w:szCs w:val="22"/>
              </w:rPr>
              <w:t xml:space="preserve">согласие на совершение </w:t>
            </w:r>
            <w:r w:rsidR="002304A7">
              <w:rPr>
                <w:rFonts w:ascii="Times New Roman" w:hAnsi="Times New Roman" w:cs="Times New Roman"/>
                <w:b/>
                <w:i/>
                <w:sz w:val="22"/>
                <w:szCs w:val="22"/>
              </w:rPr>
              <w:t xml:space="preserve">крупной </w:t>
            </w:r>
            <w:r w:rsidR="00C90778">
              <w:rPr>
                <w:rFonts w:ascii="Times New Roman" w:hAnsi="Times New Roman" w:cs="Times New Roman"/>
                <w:b/>
                <w:i/>
                <w:sz w:val="22"/>
                <w:szCs w:val="22"/>
              </w:rPr>
              <w:t xml:space="preserve">сделки </w:t>
            </w:r>
            <w:r w:rsidR="002304A7">
              <w:rPr>
                <w:rFonts w:ascii="Times New Roman" w:hAnsi="Times New Roman" w:cs="Times New Roman"/>
                <w:b/>
                <w:i/>
                <w:sz w:val="22"/>
                <w:szCs w:val="22"/>
              </w:rPr>
              <w:t xml:space="preserve">(нескольких взаимосвязанных сделок) </w:t>
            </w:r>
            <w:r w:rsidR="00C90778">
              <w:rPr>
                <w:rFonts w:ascii="Times New Roman" w:hAnsi="Times New Roman" w:cs="Times New Roman"/>
                <w:b/>
                <w:i/>
                <w:sz w:val="22"/>
                <w:szCs w:val="22"/>
              </w:rPr>
              <w:t>предоставлено</w:t>
            </w:r>
            <w:r w:rsidR="0023454E" w:rsidRPr="00A6701E">
              <w:rPr>
                <w:rFonts w:ascii="Times New Roman" w:hAnsi="Times New Roman" w:cs="Times New Roman"/>
                <w:b/>
                <w:i/>
                <w:sz w:val="22"/>
                <w:szCs w:val="22"/>
              </w:rPr>
              <w:t xml:space="preserve"> решением </w:t>
            </w:r>
            <w:r w:rsidR="007F201B" w:rsidRPr="00A6701E">
              <w:rPr>
                <w:rFonts w:ascii="Times New Roman" w:hAnsi="Times New Roman" w:cs="Times New Roman"/>
                <w:b/>
                <w:i/>
                <w:sz w:val="22"/>
                <w:szCs w:val="22"/>
              </w:rPr>
              <w:t xml:space="preserve">совета директоров </w:t>
            </w:r>
            <w:r w:rsidR="0023454E" w:rsidRPr="00A6701E">
              <w:rPr>
                <w:rFonts w:ascii="Times New Roman" w:hAnsi="Times New Roman" w:cs="Times New Roman"/>
                <w:b/>
                <w:i/>
                <w:sz w:val="22"/>
                <w:szCs w:val="22"/>
              </w:rPr>
              <w:t xml:space="preserve">ПАО «ФосАгро» </w:t>
            </w:r>
            <w:r w:rsidR="00494642">
              <w:rPr>
                <w:rFonts w:ascii="Times New Roman" w:hAnsi="Times New Roman" w:cs="Times New Roman"/>
                <w:b/>
                <w:i/>
                <w:sz w:val="22"/>
                <w:szCs w:val="22"/>
              </w:rPr>
              <w:t>05 августа 2021</w:t>
            </w:r>
            <w:r w:rsidR="0023454E" w:rsidRPr="00A6701E">
              <w:rPr>
                <w:rFonts w:ascii="Times New Roman" w:hAnsi="Times New Roman" w:cs="Times New Roman"/>
                <w:b/>
                <w:i/>
                <w:sz w:val="22"/>
                <w:szCs w:val="22"/>
              </w:rPr>
              <w:t xml:space="preserve"> г., протокол б/н от </w:t>
            </w:r>
            <w:r w:rsidR="00494642">
              <w:rPr>
                <w:rFonts w:ascii="Times New Roman" w:hAnsi="Times New Roman" w:cs="Times New Roman"/>
                <w:b/>
                <w:i/>
                <w:sz w:val="22"/>
                <w:szCs w:val="22"/>
              </w:rPr>
              <w:t>06 августа 2021</w:t>
            </w:r>
            <w:r w:rsidR="0023454E" w:rsidRPr="00A6701E">
              <w:rPr>
                <w:rFonts w:ascii="Times New Roman" w:hAnsi="Times New Roman" w:cs="Times New Roman"/>
                <w:b/>
                <w:i/>
                <w:sz w:val="22"/>
                <w:szCs w:val="22"/>
              </w:rPr>
              <w:t xml:space="preserve"> г.</w:t>
            </w:r>
          </w:p>
        </w:tc>
      </w:tr>
      <w:tr w:rsidR="00264B2C" w:rsidRPr="005B6697">
        <w:tc>
          <w:tcPr>
            <w:tcW w:w="10660" w:type="dxa"/>
            <w:gridSpan w:val="12"/>
            <w:tcBorders>
              <w:top w:val="single" w:sz="4" w:space="0" w:color="auto"/>
              <w:bottom w:val="single" w:sz="4" w:space="0" w:color="auto"/>
            </w:tcBorders>
            <w:vAlign w:val="bottom"/>
          </w:tcPr>
          <w:p w:rsidR="00264B2C" w:rsidRPr="005B6697" w:rsidRDefault="00264B2C">
            <w:pPr>
              <w:autoSpaceDE w:val="0"/>
              <w:autoSpaceDN w:val="0"/>
              <w:jc w:val="center"/>
              <w:rPr>
                <w:sz w:val="22"/>
                <w:szCs w:val="22"/>
              </w:rPr>
            </w:pPr>
            <w:r w:rsidRPr="005B6697">
              <w:rPr>
                <w:sz w:val="22"/>
                <w:szCs w:val="22"/>
              </w:rPr>
              <w:lastRenderedPageBreak/>
              <w:t xml:space="preserve"> Подпись</w:t>
            </w:r>
          </w:p>
        </w:tc>
      </w:tr>
      <w:tr w:rsidR="00DB62B7" w:rsidRPr="005B6697">
        <w:tc>
          <w:tcPr>
            <w:tcW w:w="4706" w:type="dxa"/>
            <w:gridSpan w:val="7"/>
            <w:tcBorders>
              <w:top w:val="nil"/>
              <w:bottom w:val="nil"/>
              <w:right w:val="nil"/>
            </w:tcBorders>
            <w:vAlign w:val="bottom"/>
          </w:tcPr>
          <w:p w:rsidR="00B07805" w:rsidRPr="00B07805" w:rsidRDefault="00B07805" w:rsidP="00B07805">
            <w:pPr>
              <w:autoSpaceDE w:val="0"/>
              <w:autoSpaceDN w:val="0"/>
              <w:ind w:left="57"/>
              <w:jc w:val="center"/>
              <w:rPr>
                <w:sz w:val="22"/>
                <w:szCs w:val="22"/>
              </w:rPr>
            </w:pPr>
            <w:r w:rsidRPr="00B07805">
              <w:rPr>
                <w:sz w:val="22"/>
                <w:szCs w:val="22"/>
              </w:rPr>
              <w:t>3.1. Заместитель Генерального директора</w:t>
            </w:r>
          </w:p>
          <w:p w:rsidR="00B07805" w:rsidRPr="00B07805" w:rsidRDefault="00B07805" w:rsidP="00B07805">
            <w:pPr>
              <w:autoSpaceDE w:val="0"/>
              <w:autoSpaceDN w:val="0"/>
              <w:ind w:left="57"/>
              <w:jc w:val="center"/>
              <w:rPr>
                <w:sz w:val="22"/>
                <w:szCs w:val="22"/>
              </w:rPr>
            </w:pPr>
            <w:r w:rsidRPr="00B07805">
              <w:rPr>
                <w:sz w:val="22"/>
                <w:szCs w:val="22"/>
              </w:rPr>
              <w:t>ПАО «ФосАгро» по корпоративным и правовым вопросам</w:t>
            </w:r>
          </w:p>
          <w:p w:rsidR="00DB62B7" w:rsidRPr="00B07805" w:rsidRDefault="00CF6391" w:rsidP="007F201B">
            <w:pPr>
              <w:ind w:left="57"/>
              <w:jc w:val="center"/>
              <w:rPr>
                <w:sz w:val="22"/>
                <w:szCs w:val="22"/>
                <w:highlight w:val="yellow"/>
              </w:rPr>
            </w:pPr>
            <w:r>
              <w:rPr>
                <w:sz w:val="22"/>
                <w:szCs w:val="22"/>
              </w:rPr>
              <w:t xml:space="preserve">(Доверенность б/н </w:t>
            </w:r>
            <w:r w:rsidR="00B07805" w:rsidRPr="00B07805">
              <w:rPr>
                <w:sz w:val="22"/>
                <w:szCs w:val="22"/>
              </w:rPr>
              <w:t xml:space="preserve">от </w:t>
            </w:r>
            <w:r w:rsidR="007F201B">
              <w:rPr>
                <w:sz w:val="22"/>
                <w:szCs w:val="22"/>
              </w:rPr>
              <w:t>20.12.2019</w:t>
            </w:r>
            <w:r w:rsidR="00B07805" w:rsidRPr="00B07805">
              <w:rPr>
                <w:sz w:val="22"/>
                <w:szCs w:val="22"/>
              </w:rPr>
              <w:t xml:space="preserve"> г.)</w:t>
            </w:r>
          </w:p>
        </w:tc>
        <w:tc>
          <w:tcPr>
            <w:tcW w:w="1701" w:type="dxa"/>
            <w:gridSpan w:val="2"/>
            <w:tcBorders>
              <w:top w:val="nil"/>
              <w:left w:val="nil"/>
              <w:bottom w:val="single" w:sz="4" w:space="0" w:color="auto"/>
              <w:right w:val="nil"/>
            </w:tcBorders>
            <w:vAlign w:val="bottom"/>
          </w:tcPr>
          <w:p w:rsidR="00DB62B7" w:rsidRPr="00B07805" w:rsidRDefault="00DB62B7" w:rsidP="002B6EE6">
            <w:pPr>
              <w:jc w:val="center"/>
              <w:rPr>
                <w:sz w:val="22"/>
                <w:szCs w:val="22"/>
                <w:highlight w:val="yellow"/>
              </w:rPr>
            </w:pPr>
          </w:p>
        </w:tc>
        <w:tc>
          <w:tcPr>
            <w:tcW w:w="851" w:type="dxa"/>
            <w:tcBorders>
              <w:top w:val="nil"/>
              <w:left w:val="nil"/>
              <w:bottom w:val="nil"/>
              <w:right w:val="nil"/>
            </w:tcBorders>
            <w:vAlign w:val="bottom"/>
          </w:tcPr>
          <w:p w:rsidR="00DB62B7" w:rsidRPr="005B6697" w:rsidRDefault="00DB62B7" w:rsidP="002B6EE6">
            <w:pPr>
              <w:rPr>
                <w:sz w:val="22"/>
                <w:szCs w:val="22"/>
              </w:rPr>
            </w:pPr>
          </w:p>
        </w:tc>
        <w:tc>
          <w:tcPr>
            <w:tcW w:w="2693" w:type="dxa"/>
            <w:tcBorders>
              <w:top w:val="nil"/>
              <w:left w:val="nil"/>
              <w:bottom w:val="nil"/>
              <w:right w:val="nil"/>
            </w:tcBorders>
            <w:vAlign w:val="bottom"/>
          </w:tcPr>
          <w:p w:rsidR="00DB62B7" w:rsidRPr="005B6697" w:rsidRDefault="00DB62B7" w:rsidP="002B6EE6">
            <w:pPr>
              <w:jc w:val="right"/>
              <w:rPr>
                <w:sz w:val="22"/>
                <w:szCs w:val="22"/>
              </w:rPr>
            </w:pPr>
            <w:r w:rsidRPr="005B6697">
              <w:rPr>
                <w:sz w:val="22"/>
                <w:szCs w:val="22"/>
              </w:rPr>
              <w:t>А.А. Сиротенко</w:t>
            </w:r>
          </w:p>
        </w:tc>
        <w:tc>
          <w:tcPr>
            <w:tcW w:w="709" w:type="dxa"/>
            <w:tcBorders>
              <w:top w:val="nil"/>
              <w:left w:val="nil"/>
              <w:bottom w:val="nil"/>
            </w:tcBorders>
            <w:vAlign w:val="bottom"/>
          </w:tcPr>
          <w:p w:rsidR="00DB62B7" w:rsidRPr="005B6697" w:rsidRDefault="00DB62B7" w:rsidP="002B6EE6">
            <w:pPr>
              <w:rPr>
                <w:sz w:val="22"/>
                <w:szCs w:val="22"/>
              </w:rPr>
            </w:pPr>
          </w:p>
        </w:tc>
      </w:tr>
      <w:tr w:rsidR="00DB62B7" w:rsidRPr="005B6697">
        <w:tc>
          <w:tcPr>
            <w:tcW w:w="4706" w:type="dxa"/>
            <w:gridSpan w:val="7"/>
            <w:tcBorders>
              <w:top w:val="nil"/>
              <w:bottom w:val="nil"/>
              <w:right w:val="nil"/>
            </w:tcBorders>
          </w:tcPr>
          <w:p w:rsidR="00DB62B7" w:rsidRPr="005B6697" w:rsidRDefault="00DB62B7" w:rsidP="002B6EE6">
            <w:pPr>
              <w:ind w:left="57"/>
              <w:rPr>
                <w:sz w:val="22"/>
                <w:szCs w:val="22"/>
              </w:rPr>
            </w:pPr>
          </w:p>
        </w:tc>
        <w:tc>
          <w:tcPr>
            <w:tcW w:w="1701" w:type="dxa"/>
            <w:gridSpan w:val="2"/>
            <w:tcBorders>
              <w:top w:val="nil"/>
              <w:left w:val="nil"/>
              <w:bottom w:val="nil"/>
              <w:right w:val="nil"/>
            </w:tcBorders>
          </w:tcPr>
          <w:p w:rsidR="00DB62B7" w:rsidRPr="005B6697" w:rsidRDefault="00DB62B7" w:rsidP="002B6EE6">
            <w:pPr>
              <w:jc w:val="center"/>
              <w:rPr>
                <w:sz w:val="22"/>
                <w:szCs w:val="22"/>
              </w:rPr>
            </w:pPr>
            <w:r w:rsidRPr="005B6697">
              <w:rPr>
                <w:sz w:val="22"/>
                <w:szCs w:val="22"/>
              </w:rPr>
              <w:t>(подпись)</w:t>
            </w:r>
          </w:p>
        </w:tc>
        <w:tc>
          <w:tcPr>
            <w:tcW w:w="851" w:type="dxa"/>
            <w:tcBorders>
              <w:top w:val="nil"/>
              <w:left w:val="nil"/>
              <w:bottom w:val="nil"/>
              <w:right w:val="nil"/>
            </w:tcBorders>
          </w:tcPr>
          <w:p w:rsidR="00DB62B7" w:rsidRPr="005B6697" w:rsidRDefault="00DB62B7" w:rsidP="002B6EE6">
            <w:pPr>
              <w:rPr>
                <w:sz w:val="22"/>
                <w:szCs w:val="22"/>
              </w:rPr>
            </w:pPr>
          </w:p>
        </w:tc>
        <w:tc>
          <w:tcPr>
            <w:tcW w:w="2693" w:type="dxa"/>
            <w:tcBorders>
              <w:top w:val="nil"/>
              <w:left w:val="nil"/>
              <w:bottom w:val="nil"/>
              <w:right w:val="nil"/>
            </w:tcBorders>
          </w:tcPr>
          <w:p w:rsidR="00DB62B7" w:rsidRPr="005B6697" w:rsidRDefault="00DB62B7" w:rsidP="002B6EE6">
            <w:pPr>
              <w:rPr>
                <w:sz w:val="22"/>
                <w:szCs w:val="22"/>
              </w:rPr>
            </w:pPr>
          </w:p>
        </w:tc>
        <w:tc>
          <w:tcPr>
            <w:tcW w:w="709" w:type="dxa"/>
            <w:tcBorders>
              <w:top w:val="nil"/>
              <w:left w:val="nil"/>
              <w:bottom w:val="nil"/>
            </w:tcBorders>
          </w:tcPr>
          <w:p w:rsidR="00DB62B7" w:rsidRPr="005B6697" w:rsidRDefault="00DB62B7" w:rsidP="002B6EE6">
            <w:pPr>
              <w:rPr>
                <w:sz w:val="22"/>
                <w:szCs w:val="22"/>
              </w:rPr>
            </w:pPr>
          </w:p>
        </w:tc>
      </w:tr>
      <w:tr w:rsidR="00DB62B7" w:rsidRPr="005B6697">
        <w:tc>
          <w:tcPr>
            <w:tcW w:w="1219" w:type="dxa"/>
            <w:tcBorders>
              <w:top w:val="nil"/>
              <w:bottom w:val="nil"/>
              <w:right w:val="nil"/>
            </w:tcBorders>
            <w:vAlign w:val="bottom"/>
          </w:tcPr>
          <w:p w:rsidR="00DB62B7" w:rsidRPr="004018D1" w:rsidRDefault="00DB62B7" w:rsidP="002B6EE6">
            <w:pPr>
              <w:ind w:left="57"/>
              <w:rPr>
                <w:sz w:val="22"/>
                <w:szCs w:val="22"/>
              </w:rPr>
            </w:pPr>
            <w:r w:rsidRPr="004018D1">
              <w:rPr>
                <w:sz w:val="22"/>
                <w:szCs w:val="22"/>
              </w:rPr>
              <w:t>3.2. Дата “</w:t>
            </w:r>
          </w:p>
        </w:tc>
        <w:tc>
          <w:tcPr>
            <w:tcW w:w="510" w:type="dxa"/>
            <w:tcBorders>
              <w:top w:val="nil"/>
              <w:left w:val="nil"/>
              <w:bottom w:val="single" w:sz="4" w:space="0" w:color="auto"/>
              <w:right w:val="nil"/>
            </w:tcBorders>
            <w:vAlign w:val="bottom"/>
          </w:tcPr>
          <w:p w:rsidR="00DB62B7" w:rsidRPr="004018D1" w:rsidRDefault="002A73D5" w:rsidP="009F24B1">
            <w:pPr>
              <w:jc w:val="center"/>
              <w:rPr>
                <w:sz w:val="22"/>
                <w:szCs w:val="22"/>
              </w:rPr>
            </w:pPr>
            <w:r>
              <w:rPr>
                <w:sz w:val="22"/>
                <w:szCs w:val="22"/>
              </w:rPr>
              <w:t>15</w:t>
            </w:r>
          </w:p>
        </w:tc>
        <w:tc>
          <w:tcPr>
            <w:tcW w:w="284" w:type="dxa"/>
            <w:tcBorders>
              <w:top w:val="nil"/>
              <w:left w:val="nil"/>
              <w:bottom w:val="nil"/>
              <w:right w:val="nil"/>
            </w:tcBorders>
            <w:vAlign w:val="bottom"/>
          </w:tcPr>
          <w:p w:rsidR="00DB62B7" w:rsidRPr="004018D1" w:rsidRDefault="00DB62B7" w:rsidP="002B6EE6">
            <w:pPr>
              <w:rPr>
                <w:sz w:val="22"/>
                <w:szCs w:val="22"/>
              </w:rPr>
            </w:pPr>
            <w:r w:rsidRPr="004018D1">
              <w:rPr>
                <w:sz w:val="22"/>
                <w:szCs w:val="22"/>
              </w:rPr>
              <w:t>”</w:t>
            </w:r>
          </w:p>
        </w:tc>
        <w:tc>
          <w:tcPr>
            <w:tcW w:w="1701" w:type="dxa"/>
            <w:tcBorders>
              <w:top w:val="nil"/>
              <w:left w:val="nil"/>
              <w:bottom w:val="single" w:sz="4" w:space="0" w:color="auto"/>
              <w:right w:val="nil"/>
            </w:tcBorders>
            <w:vAlign w:val="bottom"/>
          </w:tcPr>
          <w:p w:rsidR="00DB62B7" w:rsidRPr="004018D1" w:rsidRDefault="002A73D5" w:rsidP="008B43D4">
            <w:pPr>
              <w:jc w:val="center"/>
              <w:rPr>
                <w:sz w:val="22"/>
                <w:szCs w:val="22"/>
              </w:rPr>
            </w:pPr>
            <w:r>
              <w:rPr>
                <w:sz w:val="22"/>
                <w:szCs w:val="22"/>
              </w:rPr>
              <w:t>сентября</w:t>
            </w:r>
          </w:p>
        </w:tc>
        <w:tc>
          <w:tcPr>
            <w:tcW w:w="425" w:type="dxa"/>
            <w:tcBorders>
              <w:top w:val="nil"/>
              <w:left w:val="nil"/>
              <w:bottom w:val="nil"/>
              <w:right w:val="nil"/>
            </w:tcBorders>
            <w:vAlign w:val="bottom"/>
          </w:tcPr>
          <w:p w:rsidR="00DB62B7" w:rsidRPr="004018D1" w:rsidRDefault="00DB62B7" w:rsidP="002B6EE6">
            <w:pPr>
              <w:jc w:val="right"/>
              <w:rPr>
                <w:sz w:val="22"/>
                <w:szCs w:val="22"/>
              </w:rPr>
            </w:pPr>
            <w:r w:rsidRPr="004018D1">
              <w:rPr>
                <w:sz w:val="22"/>
                <w:szCs w:val="22"/>
              </w:rPr>
              <w:t>20</w:t>
            </w:r>
          </w:p>
        </w:tc>
        <w:tc>
          <w:tcPr>
            <w:tcW w:w="425" w:type="dxa"/>
            <w:tcBorders>
              <w:top w:val="nil"/>
              <w:left w:val="nil"/>
              <w:bottom w:val="single" w:sz="4" w:space="0" w:color="auto"/>
              <w:right w:val="nil"/>
            </w:tcBorders>
            <w:vAlign w:val="bottom"/>
          </w:tcPr>
          <w:p w:rsidR="00DB62B7" w:rsidRPr="004018D1" w:rsidRDefault="007F201B" w:rsidP="002A73D5">
            <w:pPr>
              <w:rPr>
                <w:sz w:val="22"/>
                <w:szCs w:val="22"/>
              </w:rPr>
            </w:pPr>
            <w:r w:rsidRPr="004018D1">
              <w:rPr>
                <w:sz w:val="22"/>
                <w:szCs w:val="22"/>
              </w:rPr>
              <w:t>2</w:t>
            </w:r>
            <w:r w:rsidR="002A73D5">
              <w:rPr>
                <w:sz w:val="22"/>
                <w:szCs w:val="22"/>
              </w:rPr>
              <w:t>1</w:t>
            </w:r>
          </w:p>
        </w:tc>
        <w:tc>
          <w:tcPr>
            <w:tcW w:w="1134" w:type="dxa"/>
            <w:gridSpan w:val="2"/>
            <w:tcBorders>
              <w:top w:val="nil"/>
              <w:left w:val="nil"/>
              <w:bottom w:val="nil"/>
              <w:right w:val="nil"/>
            </w:tcBorders>
            <w:vAlign w:val="bottom"/>
          </w:tcPr>
          <w:p w:rsidR="00DB62B7" w:rsidRPr="004018D1" w:rsidRDefault="00DB62B7" w:rsidP="002B6EE6">
            <w:pPr>
              <w:jc w:val="center"/>
              <w:rPr>
                <w:sz w:val="22"/>
                <w:szCs w:val="22"/>
              </w:rPr>
            </w:pPr>
          </w:p>
        </w:tc>
        <w:tc>
          <w:tcPr>
            <w:tcW w:w="4962" w:type="dxa"/>
            <w:gridSpan w:val="4"/>
            <w:tcBorders>
              <w:top w:val="nil"/>
              <w:left w:val="nil"/>
              <w:bottom w:val="nil"/>
            </w:tcBorders>
            <w:vAlign w:val="bottom"/>
          </w:tcPr>
          <w:p w:rsidR="00DB62B7" w:rsidRPr="005B6697" w:rsidRDefault="00DB62B7" w:rsidP="002B6EE6">
            <w:pPr>
              <w:rPr>
                <w:sz w:val="22"/>
                <w:szCs w:val="22"/>
              </w:rPr>
            </w:pPr>
          </w:p>
        </w:tc>
      </w:tr>
      <w:tr w:rsidR="00264B2C" w:rsidRPr="005B6697">
        <w:tc>
          <w:tcPr>
            <w:tcW w:w="1219" w:type="dxa"/>
            <w:tcBorders>
              <w:top w:val="nil"/>
              <w:bottom w:val="single" w:sz="4" w:space="0" w:color="auto"/>
              <w:right w:val="nil"/>
            </w:tcBorders>
            <w:vAlign w:val="bottom"/>
          </w:tcPr>
          <w:p w:rsidR="00264B2C" w:rsidRPr="005B6697" w:rsidRDefault="00264B2C">
            <w:pPr>
              <w:autoSpaceDE w:val="0"/>
              <w:autoSpaceDN w:val="0"/>
              <w:rPr>
                <w:sz w:val="22"/>
                <w:szCs w:val="22"/>
              </w:rPr>
            </w:pPr>
          </w:p>
        </w:tc>
        <w:tc>
          <w:tcPr>
            <w:tcW w:w="510" w:type="dxa"/>
            <w:tcBorders>
              <w:top w:val="nil"/>
              <w:left w:val="nil"/>
              <w:bottom w:val="single" w:sz="4" w:space="0" w:color="auto"/>
              <w:right w:val="nil"/>
            </w:tcBorders>
            <w:vAlign w:val="bottom"/>
          </w:tcPr>
          <w:p w:rsidR="00264B2C" w:rsidRPr="005B6697" w:rsidRDefault="00264B2C">
            <w:pPr>
              <w:autoSpaceDE w:val="0"/>
              <w:autoSpaceDN w:val="0"/>
              <w:rPr>
                <w:sz w:val="22"/>
                <w:szCs w:val="22"/>
              </w:rPr>
            </w:pPr>
          </w:p>
        </w:tc>
        <w:tc>
          <w:tcPr>
            <w:tcW w:w="284" w:type="dxa"/>
            <w:tcBorders>
              <w:top w:val="nil"/>
              <w:left w:val="nil"/>
              <w:bottom w:val="single" w:sz="4" w:space="0" w:color="auto"/>
              <w:right w:val="nil"/>
            </w:tcBorders>
            <w:vAlign w:val="bottom"/>
          </w:tcPr>
          <w:p w:rsidR="00264B2C" w:rsidRPr="005B6697" w:rsidRDefault="00264B2C">
            <w:pPr>
              <w:autoSpaceDE w:val="0"/>
              <w:autoSpaceDN w:val="0"/>
              <w:rPr>
                <w:sz w:val="22"/>
                <w:szCs w:val="22"/>
              </w:rPr>
            </w:pPr>
          </w:p>
        </w:tc>
        <w:tc>
          <w:tcPr>
            <w:tcW w:w="1701" w:type="dxa"/>
            <w:tcBorders>
              <w:top w:val="nil"/>
              <w:left w:val="nil"/>
              <w:bottom w:val="single" w:sz="4" w:space="0" w:color="auto"/>
              <w:right w:val="nil"/>
            </w:tcBorders>
            <w:vAlign w:val="bottom"/>
          </w:tcPr>
          <w:p w:rsidR="00264B2C" w:rsidRPr="005B6697" w:rsidRDefault="00264B2C">
            <w:pPr>
              <w:autoSpaceDE w:val="0"/>
              <w:autoSpaceDN w:val="0"/>
              <w:rPr>
                <w:sz w:val="22"/>
                <w:szCs w:val="22"/>
              </w:rPr>
            </w:pPr>
          </w:p>
        </w:tc>
        <w:tc>
          <w:tcPr>
            <w:tcW w:w="425" w:type="dxa"/>
            <w:tcBorders>
              <w:top w:val="nil"/>
              <w:left w:val="nil"/>
              <w:bottom w:val="single" w:sz="4" w:space="0" w:color="auto"/>
              <w:right w:val="nil"/>
            </w:tcBorders>
            <w:vAlign w:val="bottom"/>
          </w:tcPr>
          <w:p w:rsidR="00264B2C" w:rsidRPr="005B6697" w:rsidRDefault="00264B2C">
            <w:pPr>
              <w:autoSpaceDE w:val="0"/>
              <w:autoSpaceDN w:val="0"/>
              <w:rPr>
                <w:sz w:val="22"/>
                <w:szCs w:val="22"/>
              </w:rPr>
            </w:pPr>
          </w:p>
        </w:tc>
        <w:tc>
          <w:tcPr>
            <w:tcW w:w="425" w:type="dxa"/>
            <w:tcBorders>
              <w:top w:val="nil"/>
              <w:left w:val="nil"/>
              <w:bottom w:val="single" w:sz="4" w:space="0" w:color="auto"/>
              <w:right w:val="nil"/>
            </w:tcBorders>
            <w:vAlign w:val="bottom"/>
          </w:tcPr>
          <w:p w:rsidR="00264B2C" w:rsidRPr="005B6697" w:rsidRDefault="00264B2C">
            <w:pPr>
              <w:autoSpaceDE w:val="0"/>
              <w:autoSpaceDN w:val="0"/>
              <w:rPr>
                <w:sz w:val="22"/>
                <w:szCs w:val="22"/>
              </w:rPr>
            </w:pPr>
          </w:p>
        </w:tc>
        <w:tc>
          <w:tcPr>
            <w:tcW w:w="1134" w:type="dxa"/>
            <w:gridSpan w:val="2"/>
            <w:tcBorders>
              <w:top w:val="nil"/>
              <w:left w:val="nil"/>
              <w:bottom w:val="single" w:sz="4" w:space="0" w:color="auto"/>
              <w:right w:val="nil"/>
            </w:tcBorders>
            <w:vAlign w:val="bottom"/>
          </w:tcPr>
          <w:p w:rsidR="00264B2C" w:rsidRPr="005B6697" w:rsidRDefault="00264B2C">
            <w:pPr>
              <w:autoSpaceDE w:val="0"/>
              <w:autoSpaceDN w:val="0"/>
              <w:rPr>
                <w:sz w:val="22"/>
                <w:szCs w:val="22"/>
              </w:rPr>
            </w:pPr>
          </w:p>
        </w:tc>
        <w:tc>
          <w:tcPr>
            <w:tcW w:w="4962" w:type="dxa"/>
            <w:gridSpan w:val="4"/>
            <w:tcBorders>
              <w:top w:val="nil"/>
              <w:left w:val="nil"/>
              <w:bottom w:val="single" w:sz="4" w:space="0" w:color="auto"/>
            </w:tcBorders>
            <w:vAlign w:val="bottom"/>
          </w:tcPr>
          <w:p w:rsidR="00264B2C" w:rsidRPr="005B6697" w:rsidRDefault="00264B2C">
            <w:pPr>
              <w:autoSpaceDE w:val="0"/>
              <w:autoSpaceDN w:val="0"/>
              <w:rPr>
                <w:sz w:val="22"/>
                <w:szCs w:val="22"/>
              </w:rPr>
            </w:pPr>
          </w:p>
        </w:tc>
      </w:tr>
    </w:tbl>
    <w:p w:rsidR="00264B2C" w:rsidRPr="005B6697" w:rsidRDefault="00264B2C">
      <w:pPr>
        <w:rPr>
          <w:sz w:val="22"/>
          <w:szCs w:val="22"/>
        </w:rPr>
      </w:pPr>
    </w:p>
    <w:sectPr w:rsidR="00264B2C" w:rsidRPr="005B6697" w:rsidSect="00CC5B10">
      <w:pgSz w:w="11906" w:h="16838"/>
      <w:pgMar w:top="284" w:right="720" w:bottom="284"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684F" w:rsidRDefault="0052684F" w:rsidP="00887EEF">
      <w:r>
        <w:separator/>
      </w:r>
    </w:p>
  </w:endnote>
  <w:endnote w:type="continuationSeparator" w:id="0">
    <w:p w:rsidR="0052684F" w:rsidRDefault="0052684F" w:rsidP="00887EEF">
      <w:r>
        <w:continuationSeparator/>
      </w:r>
    </w:p>
  </w:endnote>
  <w:endnote w:type="continuationNotice" w:id="1">
    <w:p w:rsidR="0052684F" w:rsidRDefault="005268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684F" w:rsidRDefault="0052684F" w:rsidP="00887EEF">
      <w:r>
        <w:separator/>
      </w:r>
    </w:p>
  </w:footnote>
  <w:footnote w:type="continuationSeparator" w:id="0">
    <w:p w:rsidR="0052684F" w:rsidRDefault="0052684F" w:rsidP="00887EEF">
      <w:r>
        <w:continuationSeparator/>
      </w:r>
    </w:p>
  </w:footnote>
  <w:footnote w:type="continuationNotice" w:id="1">
    <w:p w:rsidR="0052684F" w:rsidRDefault="0052684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2C795C"/>
    <w:multiLevelType w:val="hybridMultilevel"/>
    <w:tmpl w:val="1C483520"/>
    <w:lvl w:ilvl="0" w:tplc="00000000">
      <w:start w:val="1"/>
      <w:numFmt w:val="bullet"/>
      <w:lvlText w:val=""/>
      <w:lvlJc w:val="left"/>
      <w:pPr>
        <w:tabs>
          <w:tab w:val="num" w:pos="720"/>
        </w:tabs>
        <w:ind w:left="720" w:hanging="360"/>
      </w:pPr>
      <w:rPr>
        <w:rFonts w:ascii="Symbol" w:hAnsi="Symbol"/>
      </w:rPr>
    </w:lvl>
    <w:lvl w:ilvl="1" w:tplc="00000001">
      <w:start w:val="1"/>
      <w:numFmt w:val="bullet"/>
      <w:lvlText w:val="o"/>
      <w:lvlJc w:val="left"/>
      <w:pPr>
        <w:tabs>
          <w:tab w:val="num" w:pos="1440"/>
        </w:tabs>
        <w:ind w:left="1440" w:hanging="360"/>
      </w:pPr>
      <w:rPr>
        <w:rFonts w:ascii="Courier New" w:hAnsi="Courier New"/>
      </w:rPr>
    </w:lvl>
    <w:lvl w:ilvl="2" w:tplc="00000002">
      <w:start w:val="1"/>
      <w:numFmt w:val="bullet"/>
      <w:lvlText w:val=""/>
      <w:lvlJc w:val="left"/>
      <w:pPr>
        <w:tabs>
          <w:tab w:val="num" w:pos="2160"/>
        </w:tabs>
        <w:ind w:left="2160" w:hanging="360"/>
      </w:pPr>
      <w:rPr>
        <w:rFonts w:ascii="Wingdings" w:hAnsi="Wingdings"/>
      </w:rPr>
    </w:lvl>
    <w:lvl w:ilvl="3" w:tplc="00000003">
      <w:start w:val="1"/>
      <w:numFmt w:val="bullet"/>
      <w:lvlText w:val=""/>
      <w:lvlJc w:val="left"/>
      <w:pPr>
        <w:tabs>
          <w:tab w:val="num" w:pos="2880"/>
        </w:tabs>
        <w:ind w:left="2880" w:hanging="360"/>
      </w:pPr>
      <w:rPr>
        <w:rFonts w:ascii="Symbol" w:hAnsi="Symbol"/>
      </w:rPr>
    </w:lvl>
    <w:lvl w:ilvl="4" w:tplc="00000004">
      <w:start w:val="1"/>
      <w:numFmt w:val="bullet"/>
      <w:lvlText w:val="o"/>
      <w:lvlJc w:val="left"/>
      <w:pPr>
        <w:tabs>
          <w:tab w:val="num" w:pos="3600"/>
        </w:tabs>
        <w:ind w:left="3600" w:hanging="360"/>
      </w:pPr>
      <w:rPr>
        <w:rFonts w:ascii="Courier New" w:hAnsi="Courier New"/>
      </w:rPr>
    </w:lvl>
    <w:lvl w:ilvl="5" w:tplc="00000005">
      <w:start w:val="1"/>
      <w:numFmt w:val="bullet"/>
      <w:lvlText w:val=""/>
      <w:lvlJc w:val="left"/>
      <w:pPr>
        <w:tabs>
          <w:tab w:val="num" w:pos="4320"/>
        </w:tabs>
        <w:ind w:left="4320" w:hanging="360"/>
      </w:pPr>
      <w:rPr>
        <w:rFonts w:ascii="Wingdings" w:hAnsi="Wingdings"/>
      </w:rPr>
    </w:lvl>
    <w:lvl w:ilvl="6" w:tplc="00000006">
      <w:start w:val="1"/>
      <w:numFmt w:val="bullet"/>
      <w:lvlText w:val=""/>
      <w:lvlJc w:val="left"/>
      <w:pPr>
        <w:tabs>
          <w:tab w:val="num" w:pos="5040"/>
        </w:tabs>
        <w:ind w:left="5040" w:hanging="360"/>
      </w:pPr>
      <w:rPr>
        <w:rFonts w:ascii="Symbol" w:hAnsi="Symbol"/>
      </w:rPr>
    </w:lvl>
    <w:lvl w:ilvl="7" w:tplc="00000007">
      <w:start w:val="1"/>
      <w:numFmt w:val="bullet"/>
      <w:lvlText w:val="o"/>
      <w:lvlJc w:val="left"/>
      <w:pPr>
        <w:tabs>
          <w:tab w:val="num" w:pos="5760"/>
        </w:tabs>
        <w:ind w:left="5760" w:hanging="360"/>
      </w:pPr>
      <w:rPr>
        <w:rFonts w:ascii="Courier New" w:hAnsi="Courier New"/>
      </w:rPr>
    </w:lvl>
    <w:lvl w:ilvl="8" w:tplc="00000008">
      <w:start w:val="1"/>
      <w:numFmt w:val="bullet"/>
      <w:lvlText w:val=""/>
      <w:lvlJc w:val="left"/>
      <w:pPr>
        <w:tabs>
          <w:tab w:val="num" w:pos="6480"/>
        </w:tabs>
        <w:ind w:left="6480" w:hanging="360"/>
      </w:pPr>
      <w:rPr>
        <w:rFonts w:ascii="Wingdings" w:hAnsi="Wingdings"/>
      </w:rPr>
    </w:lvl>
  </w:abstractNum>
  <w:abstractNum w:abstractNumId="1" w15:restartNumberingAfterBreak="0">
    <w:nsid w:val="17264C5D"/>
    <w:multiLevelType w:val="hybridMultilevel"/>
    <w:tmpl w:val="D4B60C1C"/>
    <w:lvl w:ilvl="0" w:tplc="00000000">
      <w:start w:val="1"/>
      <w:numFmt w:val="bullet"/>
      <w:lvlText w:val=""/>
      <w:lvlJc w:val="left"/>
      <w:pPr>
        <w:tabs>
          <w:tab w:val="num" w:pos="720"/>
        </w:tabs>
        <w:ind w:left="720" w:hanging="360"/>
      </w:pPr>
      <w:rPr>
        <w:rFonts w:ascii="Symbol" w:hAnsi="Symbol"/>
      </w:rPr>
    </w:lvl>
    <w:lvl w:ilvl="1" w:tplc="00000001">
      <w:start w:val="1"/>
      <w:numFmt w:val="bullet"/>
      <w:lvlText w:val="o"/>
      <w:lvlJc w:val="left"/>
      <w:pPr>
        <w:tabs>
          <w:tab w:val="num" w:pos="1440"/>
        </w:tabs>
        <w:ind w:left="1440" w:hanging="360"/>
      </w:pPr>
      <w:rPr>
        <w:rFonts w:ascii="Courier New" w:hAnsi="Courier New"/>
      </w:rPr>
    </w:lvl>
    <w:lvl w:ilvl="2" w:tplc="00000002">
      <w:start w:val="1"/>
      <w:numFmt w:val="bullet"/>
      <w:lvlText w:val=""/>
      <w:lvlJc w:val="left"/>
      <w:pPr>
        <w:tabs>
          <w:tab w:val="num" w:pos="2160"/>
        </w:tabs>
        <w:ind w:left="2160" w:hanging="360"/>
      </w:pPr>
      <w:rPr>
        <w:rFonts w:ascii="Wingdings" w:hAnsi="Wingdings"/>
      </w:rPr>
    </w:lvl>
    <w:lvl w:ilvl="3" w:tplc="00000003">
      <w:start w:val="1"/>
      <w:numFmt w:val="bullet"/>
      <w:lvlText w:val=""/>
      <w:lvlJc w:val="left"/>
      <w:pPr>
        <w:tabs>
          <w:tab w:val="num" w:pos="2880"/>
        </w:tabs>
        <w:ind w:left="2880" w:hanging="360"/>
      </w:pPr>
      <w:rPr>
        <w:rFonts w:ascii="Symbol" w:hAnsi="Symbol"/>
      </w:rPr>
    </w:lvl>
    <w:lvl w:ilvl="4" w:tplc="00000004">
      <w:start w:val="1"/>
      <w:numFmt w:val="bullet"/>
      <w:lvlText w:val="o"/>
      <w:lvlJc w:val="left"/>
      <w:pPr>
        <w:tabs>
          <w:tab w:val="num" w:pos="3600"/>
        </w:tabs>
        <w:ind w:left="3600" w:hanging="360"/>
      </w:pPr>
      <w:rPr>
        <w:rFonts w:ascii="Courier New" w:hAnsi="Courier New"/>
      </w:rPr>
    </w:lvl>
    <w:lvl w:ilvl="5" w:tplc="00000005">
      <w:start w:val="1"/>
      <w:numFmt w:val="bullet"/>
      <w:lvlText w:val=""/>
      <w:lvlJc w:val="left"/>
      <w:pPr>
        <w:tabs>
          <w:tab w:val="num" w:pos="4320"/>
        </w:tabs>
        <w:ind w:left="4320" w:hanging="360"/>
      </w:pPr>
      <w:rPr>
        <w:rFonts w:ascii="Wingdings" w:hAnsi="Wingdings"/>
      </w:rPr>
    </w:lvl>
    <w:lvl w:ilvl="6" w:tplc="00000006">
      <w:start w:val="1"/>
      <w:numFmt w:val="bullet"/>
      <w:lvlText w:val=""/>
      <w:lvlJc w:val="left"/>
      <w:pPr>
        <w:tabs>
          <w:tab w:val="num" w:pos="5040"/>
        </w:tabs>
        <w:ind w:left="5040" w:hanging="360"/>
      </w:pPr>
      <w:rPr>
        <w:rFonts w:ascii="Symbol" w:hAnsi="Symbol"/>
      </w:rPr>
    </w:lvl>
    <w:lvl w:ilvl="7" w:tplc="00000007">
      <w:start w:val="1"/>
      <w:numFmt w:val="bullet"/>
      <w:lvlText w:val="o"/>
      <w:lvlJc w:val="left"/>
      <w:pPr>
        <w:tabs>
          <w:tab w:val="num" w:pos="5760"/>
        </w:tabs>
        <w:ind w:left="5760" w:hanging="360"/>
      </w:pPr>
      <w:rPr>
        <w:rFonts w:ascii="Courier New" w:hAnsi="Courier New"/>
      </w:rPr>
    </w:lvl>
    <w:lvl w:ilvl="8" w:tplc="00000008">
      <w:start w:val="1"/>
      <w:numFmt w:val="bullet"/>
      <w:lvlText w:val=""/>
      <w:lvlJc w:val="left"/>
      <w:pPr>
        <w:tabs>
          <w:tab w:val="num" w:pos="6480"/>
        </w:tabs>
        <w:ind w:left="6480" w:hanging="360"/>
      </w:pPr>
      <w:rPr>
        <w:rFonts w:ascii="Wingdings" w:hAnsi="Wingdings"/>
      </w:rPr>
    </w:lvl>
  </w:abstractNum>
  <w:abstractNum w:abstractNumId="2" w15:restartNumberingAfterBreak="0">
    <w:nsid w:val="1E404730"/>
    <w:multiLevelType w:val="hybridMultilevel"/>
    <w:tmpl w:val="637280B6"/>
    <w:lvl w:ilvl="0" w:tplc="00000000">
      <w:start w:val="1"/>
      <w:numFmt w:val="bullet"/>
      <w:lvlText w:val=""/>
      <w:lvlJc w:val="left"/>
      <w:pPr>
        <w:tabs>
          <w:tab w:val="num" w:pos="720"/>
        </w:tabs>
        <w:ind w:left="720" w:hanging="360"/>
      </w:pPr>
      <w:rPr>
        <w:rFonts w:ascii="Symbol" w:hAnsi="Symbol"/>
      </w:rPr>
    </w:lvl>
    <w:lvl w:ilvl="1" w:tplc="00000001">
      <w:start w:val="1"/>
      <w:numFmt w:val="bullet"/>
      <w:lvlText w:val="o"/>
      <w:lvlJc w:val="left"/>
      <w:pPr>
        <w:tabs>
          <w:tab w:val="num" w:pos="1440"/>
        </w:tabs>
        <w:ind w:left="1440" w:hanging="360"/>
      </w:pPr>
      <w:rPr>
        <w:rFonts w:ascii="Courier New" w:hAnsi="Courier New"/>
      </w:rPr>
    </w:lvl>
    <w:lvl w:ilvl="2" w:tplc="00000002">
      <w:start w:val="1"/>
      <w:numFmt w:val="bullet"/>
      <w:lvlText w:val=""/>
      <w:lvlJc w:val="left"/>
      <w:pPr>
        <w:tabs>
          <w:tab w:val="num" w:pos="2160"/>
        </w:tabs>
        <w:ind w:left="2160" w:hanging="360"/>
      </w:pPr>
      <w:rPr>
        <w:rFonts w:ascii="Wingdings" w:hAnsi="Wingdings"/>
      </w:rPr>
    </w:lvl>
    <w:lvl w:ilvl="3" w:tplc="00000003">
      <w:start w:val="1"/>
      <w:numFmt w:val="bullet"/>
      <w:lvlText w:val=""/>
      <w:lvlJc w:val="left"/>
      <w:pPr>
        <w:tabs>
          <w:tab w:val="num" w:pos="2880"/>
        </w:tabs>
        <w:ind w:left="2880" w:hanging="360"/>
      </w:pPr>
      <w:rPr>
        <w:rFonts w:ascii="Symbol" w:hAnsi="Symbol"/>
      </w:rPr>
    </w:lvl>
    <w:lvl w:ilvl="4" w:tplc="00000004">
      <w:start w:val="1"/>
      <w:numFmt w:val="bullet"/>
      <w:lvlText w:val="o"/>
      <w:lvlJc w:val="left"/>
      <w:pPr>
        <w:tabs>
          <w:tab w:val="num" w:pos="3600"/>
        </w:tabs>
        <w:ind w:left="3600" w:hanging="360"/>
      </w:pPr>
      <w:rPr>
        <w:rFonts w:ascii="Courier New" w:hAnsi="Courier New"/>
      </w:rPr>
    </w:lvl>
    <w:lvl w:ilvl="5" w:tplc="00000005">
      <w:start w:val="1"/>
      <w:numFmt w:val="bullet"/>
      <w:lvlText w:val=""/>
      <w:lvlJc w:val="left"/>
      <w:pPr>
        <w:tabs>
          <w:tab w:val="num" w:pos="4320"/>
        </w:tabs>
        <w:ind w:left="4320" w:hanging="360"/>
      </w:pPr>
      <w:rPr>
        <w:rFonts w:ascii="Wingdings" w:hAnsi="Wingdings"/>
      </w:rPr>
    </w:lvl>
    <w:lvl w:ilvl="6" w:tplc="00000006">
      <w:start w:val="1"/>
      <w:numFmt w:val="bullet"/>
      <w:lvlText w:val=""/>
      <w:lvlJc w:val="left"/>
      <w:pPr>
        <w:tabs>
          <w:tab w:val="num" w:pos="5040"/>
        </w:tabs>
        <w:ind w:left="5040" w:hanging="360"/>
      </w:pPr>
      <w:rPr>
        <w:rFonts w:ascii="Symbol" w:hAnsi="Symbol"/>
      </w:rPr>
    </w:lvl>
    <w:lvl w:ilvl="7" w:tplc="00000007">
      <w:start w:val="1"/>
      <w:numFmt w:val="bullet"/>
      <w:lvlText w:val="o"/>
      <w:lvlJc w:val="left"/>
      <w:pPr>
        <w:tabs>
          <w:tab w:val="num" w:pos="5760"/>
        </w:tabs>
        <w:ind w:left="5760" w:hanging="360"/>
      </w:pPr>
      <w:rPr>
        <w:rFonts w:ascii="Courier New" w:hAnsi="Courier New"/>
      </w:rPr>
    </w:lvl>
    <w:lvl w:ilvl="8" w:tplc="00000008">
      <w:start w:val="1"/>
      <w:numFmt w:val="bullet"/>
      <w:lvlText w:val=""/>
      <w:lvlJc w:val="left"/>
      <w:pPr>
        <w:tabs>
          <w:tab w:val="num" w:pos="6480"/>
        </w:tabs>
        <w:ind w:left="6480" w:hanging="360"/>
      </w:pPr>
      <w:rPr>
        <w:rFonts w:ascii="Wingdings" w:hAnsi="Wingdings"/>
      </w:rPr>
    </w:lvl>
  </w:abstractNum>
  <w:abstractNum w:abstractNumId="3" w15:restartNumberingAfterBreak="0">
    <w:nsid w:val="2B853616"/>
    <w:multiLevelType w:val="hybridMultilevel"/>
    <w:tmpl w:val="57FCF798"/>
    <w:lvl w:ilvl="0" w:tplc="00000000">
      <w:start w:val="1"/>
      <w:numFmt w:val="lowerRoman"/>
      <w:lvlText w:val="%1."/>
      <w:lvlJc w:val="right"/>
      <w:pPr>
        <w:ind w:left="720" w:hanging="360"/>
      </w:pPr>
      <w:rPr>
        <w:rFonts w:cs="Times New Roman"/>
      </w:rPr>
    </w:lvl>
    <w:lvl w:ilvl="1" w:tplc="00000001">
      <w:start w:val="1"/>
      <w:numFmt w:val="lowerLetter"/>
      <w:lvlText w:val="%2."/>
      <w:lvlJc w:val="left"/>
      <w:pPr>
        <w:ind w:left="1440" w:hanging="360"/>
      </w:pPr>
      <w:rPr>
        <w:rFonts w:cs="Times New Roman"/>
      </w:rPr>
    </w:lvl>
    <w:lvl w:ilvl="2" w:tplc="00000002">
      <w:start w:val="1"/>
      <w:numFmt w:val="lowerRoman"/>
      <w:lvlText w:val="%3."/>
      <w:lvlJc w:val="right"/>
      <w:pPr>
        <w:ind w:left="2160" w:hanging="180"/>
      </w:pPr>
      <w:rPr>
        <w:rFonts w:cs="Times New Roman"/>
      </w:rPr>
    </w:lvl>
    <w:lvl w:ilvl="3" w:tplc="00000003">
      <w:start w:val="1"/>
      <w:numFmt w:val="decimal"/>
      <w:lvlText w:val="%4."/>
      <w:lvlJc w:val="left"/>
      <w:pPr>
        <w:ind w:left="2880" w:hanging="360"/>
      </w:pPr>
      <w:rPr>
        <w:rFonts w:cs="Times New Roman"/>
      </w:rPr>
    </w:lvl>
    <w:lvl w:ilvl="4" w:tplc="00000004">
      <w:start w:val="1"/>
      <w:numFmt w:val="lowerLetter"/>
      <w:lvlText w:val="%5."/>
      <w:lvlJc w:val="left"/>
      <w:pPr>
        <w:ind w:left="3600" w:hanging="360"/>
      </w:pPr>
      <w:rPr>
        <w:rFonts w:cs="Times New Roman"/>
      </w:rPr>
    </w:lvl>
    <w:lvl w:ilvl="5" w:tplc="00000005">
      <w:start w:val="1"/>
      <w:numFmt w:val="lowerRoman"/>
      <w:lvlText w:val="%6."/>
      <w:lvlJc w:val="right"/>
      <w:pPr>
        <w:ind w:left="4320" w:hanging="180"/>
      </w:pPr>
      <w:rPr>
        <w:rFonts w:cs="Times New Roman"/>
      </w:rPr>
    </w:lvl>
    <w:lvl w:ilvl="6" w:tplc="00000006">
      <w:start w:val="1"/>
      <w:numFmt w:val="decimal"/>
      <w:lvlText w:val="%7."/>
      <w:lvlJc w:val="left"/>
      <w:pPr>
        <w:ind w:left="5040" w:hanging="360"/>
      </w:pPr>
      <w:rPr>
        <w:rFonts w:cs="Times New Roman"/>
      </w:rPr>
    </w:lvl>
    <w:lvl w:ilvl="7" w:tplc="00000007">
      <w:start w:val="1"/>
      <w:numFmt w:val="lowerLetter"/>
      <w:lvlText w:val="%8."/>
      <w:lvlJc w:val="left"/>
      <w:pPr>
        <w:ind w:left="5760" w:hanging="360"/>
      </w:pPr>
      <w:rPr>
        <w:rFonts w:cs="Times New Roman"/>
      </w:rPr>
    </w:lvl>
    <w:lvl w:ilvl="8" w:tplc="00000008">
      <w:start w:val="1"/>
      <w:numFmt w:val="lowerRoman"/>
      <w:lvlText w:val="%9."/>
      <w:lvlJc w:val="right"/>
      <w:pPr>
        <w:ind w:left="6480" w:hanging="180"/>
      </w:pPr>
      <w:rPr>
        <w:rFonts w:cs="Times New Roman"/>
      </w:rPr>
    </w:lvl>
  </w:abstractNum>
  <w:abstractNum w:abstractNumId="4" w15:restartNumberingAfterBreak="0">
    <w:nsid w:val="45935900"/>
    <w:multiLevelType w:val="hybridMultilevel"/>
    <w:tmpl w:val="58B2F824"/>
    <w:lvl w:ilvl="0" w:tplc="00000000">
      <w:start w:val="1"/>
      <w:numFmt w:val="bullet"/>
      <w:lvlText w:val=""/>
      <w:lvlJc w:val="left"/>
      <w:pPr>
        <w:tabs>
          <w:tab w:val="num" w:pos="720"/>
        </w:tabs>
        <w:ind w:left="720" w:hanging="360"/>
      </w:pPr>
      <w:rPr>
        <w:rFonts w:ascii="Symbol" w:hAnsi="Symbol"/>
      </w:rPr>
    </w:lvl>
    <w:lvl w:ilvl="1" w:tplc="00000001">
      <w:start w:val="1"/>
      <w:numFmt w:val="bullet"/>
      <w:lvlText w:val="o"/>
      <w:lvlJc w:val="left"/>
      <w:pPr>
        <w:tabs>
          <w:tab w:val="num" w:pos="1440"/>
        </w:tabs>
        <w:ind w:left="1440" w:hanging="360"/>
      </w:pPr>
      <w:rPr>
        <w:rFonts w:ascii="Courier New" w:hAnsi="Courier New"/>
      </w:rPr>
    </w:lvl>
    <w:lvl w:ilvl="2" w:tplc="00000002">
      <w:start w:val="1"/>
      <w:numFmt w:val="bullet"/>
      <w:lvlText w:val=""/>
      <w:lvlJc w:val="left"/>
      <w:pPr>
        <w:tabs>
          <w:tab w:val="num" w:pos="2160"/>
        </w:tabs>
        <w:ind w:left="2160" w:hanging="360"/>
      </w:pPr>
      <w:rPr>
        <w:rFonts w:ascii="Wingdings" w:hAnsi="Wingdings"/>
      </w:rPr>
    </w:lvl>
    <w:lvl w:ilvl="3" w:tplc="00000003">
      <w:start w:val="1"/>
      <w:numFmt w:val="bullet"/>
      <w:lvlText w:val=""/>
      <w:lvlJc w:val="left"/>
      <w:pPr>
        <w:tabs>
          <w:tab w:val="num" w:pos="2880"/>
        </w:tabs>
        <w:ind w:left="2880" w:hanging="360"/>
      </w:pPr>
      <w:rPr>
        <w:rFonts w:ascii="Symbol" w:hAnsi="Symbol"/>
      </w:rPr>
    </w:lvl>
    <w:lvl w:ilvl="4" w:tplc="00000004">
      <w:start w:val="1"/>
      <w:numFmt w:val="bullet"/>
      <w:lvlText w:val="o"/>
      <w:lvlJc w:val="left"/>
      <w:pPr>
        <w:tabs>
          <w:tab w:val="num" w:pos="3600"/>
        </w:tabs>
        <w:ind w:left="3600" w:hanging="360"/>
      </w:pPr>
      <w:rPr>
        <w:rFonts w:ascii="Courier New" w:hAnsi="Courier New"/>
      </w:rPr>
    </w:lvl>
    <w:lvl w:ilvl="5" w:tplc="00000005">
      <w:start w:val="1"/>
      <w:numFmt w:val="bullet"/>
      <w:lvlText w:val=""/>
      <w:lvlJc w:val="left"/>
      <w:pPr>
        <w:tabs>
          <w:tab w:val="num" w:pos="4320"/>
        </w:tabs>
        <w:ind w:left="4320" w:hanging="360"/>
      </w:pPr>
      <w:rPr>
        <w:rFonts w:ascii="Wingdings" w:hAnsi="Wingdings"/>
      </w:rPr>
    </w:lvl>
    <w:lvl w:ilvl="6" w:tplc="00000006">
      <w:start w:val="1"/>
      <w:numFmt w:val="bullet"/>
      <w:lvlText w:val=""/>
      <w:lvlJc w:val="left"/>
      <w:pPr>
        <w:tabs>
          <w:tab w:val="num" w:pos="5040"/>
        </w:tabs>
        <w:ind w:left="5040" w:hanging="360"/>
      </w:pPr>
      <w:rPr>
        <w:rFonts w:ascii="Symbol" w:hAnsi="Symbol"/>
      </w:rPr>
    </w:lvl>
    <w:lvl w:ilvl="7" w:tplc="00000007">
      <w:start w:val="1"/>
      <w:numFmt w:val="bullet"/>
      <w:lvlText w:val="o"/>
      <w:lvlJc w:val="left"/>
      <w:pPr>
        <w:tabs>
          <w:tab w:val="num" w:pos="5760"/>
        </w:tabs>
        <w:ind w:left="5760" w:hanging="360"/>
      </w:pPr>
      <w:rPr>
        <w:rFonts w:ascii="Courier New" w:hAnsi="Courier New"/>
      </w:rPr>
    </w:lvl>
    <w:lvl w:ilvl="8" w:tplc="00000008">
      <w:start w:val="1"/>
      <w:numFmt w:val="bullet"/>
      <w:lvlText w:val=""/>
      <w:lvlJc w:val="left"/>
      <w:pPr>
        <w:tabs>
          <w:tab w:val="num" w:pos="6480"/>
        </w:tabs>
        <w:ind w:left="6480" w:hanging="360"/>
      </w:pPr>
      <w:rPr>
        <w:rFonts w:ascii="Wingdings" w:hAnsi="Wingdings"/>
      </w:rPr>
    </w:lvl>
  </w:abstractNum>
  <w:abstractNum w:abstractNumId="5" w15:restartNumberingAfterBreak="0">
    <w:nsid w:val="76126E3C"/>
    <w:multiLevelType w:val="hybridMultilevel"/>
    <w:tmpl w:val="9A2CF840"/>
    <w:lvl w:ilvl="0" w:tplc="00000000">
      <w:start w:val="1"/>
      <w:numFmt w:val="bullet"/>
      <w:lvlText w:val=""/>
      <w:lvlJc w:val="left"/>
      <w:pPr>
        <w:tabs>
          <w:tab w:val="num" w:pos="927"/>
        </w:tabs>
        <w:ind w:left="927" w:hanging="360"/>
      </w:pPr>
      <w:rPr>
        <w:rFonts w:ascii="Symbol" w:hAnsi="Symbol"/>
      </w:rPr>
    </w:lvl>
    <w:lvl w:ilvl="1" w:tplc="00000001">
      <w:start w:val="1"/>
      <w:numFmt w:val="lowerLetter"/>
      <w:lvlText w:val="%2."/>
      <w:lvlJc w:val="left"/>
      <w:pPr>
        <w:tabs>
          <w:tab w:val="num" w:pos="1647"/>
        </w:tabs>
        <w:ind w:left="1647" w:hanging="360"/>
      </w:pPr>
      <w:rPr>
        <w:rFonts w:cs="Times New Roman"/>
      </w:rPr>
    </w:lvl>
    <w:lvl w:ilvl="2" w:tplc="00000002">
      <w:start w:val="1"/>
      <w:numFmt w:val="lowerRoman"/>
      <w:lvlText w:val="%3."/>
      <w:lvlJc w:val="right"/>
      <w:pPr>
        <w:tabs>
          <w:tab w:val="num" w:pos="2367"/>
        </w:tabs>
        <w:ind w:left="2367" w:hanging="180"/>
      </w:pPr>
      <w:rPr>
        <w:rFonts w:cs="Times New Roman"/>
      </w:rPr>
    </w:lvl>
    <w:lvl w:ilvl="3" w:tplc="00000003">
      <w:start w:val="1"/>
      <w:numFmt w:val="decimal"/>
      <w:lvlText w:val="%4."/>
      <w:lvlJc w:val="left"/>
      <w:pPr>
        <w:tabs>
          <w:tab w:val="num" w:pos="3087"/>
        </w:tabs>
        <w:ind w:left="3087" w:hanging="360"/>
      </w:pPr>
      <w:rPr>
        <w:rFonts w:cs="Times New Roman"/>
      </w:rPr>
    </w:lvl>
    <w:lvl w:ilvl="4" w:tplc="00000004">
      <w:start w:val="1"/>
      <w:numFmt w:val="lowerLetter"/>
      <w:lvlText w:val="%5."/>
      <w:lvlJc w:val="left"/>
      <w:pPr>
        <w:tabs>
          <w:tab w:val="num" w:pos="3807"/>
        </w:tabs>
        <w:ind w:left="3807" w:hanging="360"/>
      </w:pPr>
      <w:rPr>
        <w:rFonts w:cs="Times New Roman"/>
      </w:rPr>
    </w:lvl>
    <w:lvl w:ilvl="5" w:tplc="00000005">
      <w:start w:val="1"/>
      <w:numFmt w:val="lowerRoman"/>
      <w:lvlText w:val="%6."/>
      <w:lvlJc w:val="right"/>
      <w:pPr>
        <w:tabs>
          <w:tab w:val="num" w:pos="4527"/>
        </w:tabs>
        <w:ind w:left="4527" w:hanging="180"/>
      </w:pPr>
      <w:rPr>
        <w:rFonts w:cs="Times New Roman"/>
      </w:rPr>
    </w:lvl>
    <w:lvl w:ilvl="6" w:tplc="00000006">
      <w:start w:val="1"/>
      <w:numFmt w:val="decimal"/>
      <w:lvlText w:val="%7."/>
      <w:lvlJc w:val="left"/>
      <w:pPr>
        <w:tabs>
          <w:tab w:val="num" w:pos="5247"/>
        </w:tabs>
        <w:ind w:left="5247" w:hanging="360"/>
      </w:pPr>
      <w:rPr>
        <w:rFonts w:cs="Times New Roman"/>
      </w:rPr>
    </w:lvl>
    <w:lvl w:ilvl="7" w:tplc="00000007">
      <w:start w:val="1"/>
      <w:numFmt w:val="lowerLetter"/>
      <w:lvlText w:val="%8."/>
      <w:lvlJc w:val="left"/>
      <w:pPr>
        <w:tabs>
          <w:tab w:val="num" w:pos="5967"/>
        </w:tabs>
        <w:ind w:left="5967" w:hanging="360"/>
      </w:pPr>
      <w:rPr>
        <w:rFonts w:cs="Times New Roman"/>
      </w:rPr>
    </w:lvl>
    <w:lvl w:ilvl="8" w:tplc="00000008">
      <w:start w:val="1"/>
      <w:numFmt w:val="lowerRoman"/>
      <w:lvlText w:val="%9."/>
      <w:lvlJc w:val="right"/>
      <w:pPr>
        <w:tabs>
          <w:tab w:val="num" w:pos="6687"/>
        </w:tabs>
        <w:ind w:left="6687" w:hanging="180"/>
      </w:pPr>
      <w:rPr>
        <w:rFonts w:cs="Times New Roman"/>
      </w:rPr>
    </w:lvl>
  </w:abstractNum>
  <w:num w:numId="1">
    <w:abstractNumId w:val="0"/>
  </w:num>
  <w:num w:numId="2">
    <w:abstractNumId w:val="4"/>
  </w:num>
  <w:num w:numId="3">
    <w:abstractNumId w:val="2"/>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D9F"/>
    <w:rsid w:val="00011491"/>
    <w:rsid w:val="000326F1"/>
    <w:rsid w:val="00033E44"/>
    <w:rsid w:val="000362D5"/>
    <w:rsid w:val="00051FB4"/>
    <w:rsid w:val="000610D7"/>
    <w:rsid w:val="00062FEE"/>
    <w:rsid w:val="000704D9"/>
    <w:rsid w:val="0009398B"/>
    <w:rsid w:val="000B792F"/>
    <w:rsid w:val="000D0B37"/>
    <w:rsid w:val="00105D8A"/>
    <w:rsid w:val="00165BEC"/>
    <w:rsid w:val="00170F60"/>
    <w:rsid w:val="00190AAC"/>
    <w:rsid w:val="001A48B8"/>
    <w:rsid w:val="001C5E53"/>
    <w:rsid w:val="00222E1E"/>
    <w:rsid w:val="002304A7"/>
    <w:rsid w:val="0023454E"/>
    <w:rsid w:val="00240B8D"/>
    <w:rsid w:val="00264B2C"/>
    <w:rsid w:val="0029004A"/>
    <w:rsid w:val="002A1538"/>
    <w:rsid w:val="002A4C4E"/>
    <w:rsid w:val="002A73D5"/>
    <w:rsid w:val="002B6EE6"/>
    <w:rsid w:val="00326A12"/>
    <w:rsid w:val="00330028"/>
    <w:rsid w:val="00342F32"/>
    <w:rsid w:val="00345D00"/>
    <w:rsid w:val="00384666"/>
    <w:rsid w:val="003B6514"/>
    <w:rsid w:val="003B747A"/>
    <w:rsid w:val="003D008C"/>
    <w:rsid w:val="003F2BCF"/>
    <w:rsid w:val="003F5AB2"/>
    <w:rsid w:val="004018D1"/>
    <w:rsid w:val="004236F8"/>
    <w:rsid w:val="00424B31"/>
    <w:rsid w:val="00446F79"/>
    <w:rsid w:val="00465E04"/>
    <w:rsid w:val="00494642"/>
    <w:rsid w:val="004A5A6C"/>
    <w:rsid w:val="004D3615"/>
    <w:rsid w:val="004D4A3F"/>
    <w:rsid w:val="004E1A19"/>
    <w:rsid w:val="004E299D"/>
    <w:rsid w:val="00501123"/>
    <w:rsid w:val="00523DB5"/>
    <w:rsid w:val="0052684F"/>
    <w:rsid w:val="005367FF"/>
    <w:rsid w:val="005408B4"/>
    <w:rsid w:val="00566441"/>
    <w:rsid w:val="00575A66"/>
    <w:rsid w:val="005A11C3"/>
    <w:rsid w:val="005B6697"/>
    <w:rsid w:val="005F4541"/>
    <w:rsid w:val="005F6D6D"/>
    <w:rsid w:val="00607151"/>
    <w:rsid w:val="00624493"/>
    <w:rsid w:val="00635D49"/>
    <w:rsid w:val="00636121"/>
    <w:rsid w:val="0066754E"/>
    <w:rsid w:val="00677D76"/>
    <w:rsid w:val="00693E9E"/>
    <w:rsid w:val="006C30D9"/>
    <w:rsid w:val="006D3D8D"/>
    <w:rsid w:val="006D6399"/>
    <w:rsid w:val="006D79E0"/>
    <w:rsid w:val="006E2EF3"/>
    <w:rsid w:val="00707B21"/>
    <w:rsid w:val="00733CF5"/>
    <w:rsid w:val="00751E4B"/>
    <w:rsid w:val="007523DD"/>
    <w:rsid w:val="007870CB"/>
    <w:rsid w:val="00787C2D"/>
    <w:rsid w:val="007A461B"/>
    <w:rsid w:val="007A48E5"/>
    <w:rsid w:val="007A59FB"/>
    <w:rsid w:val="007B0278"/>
    <w:rsid w:val="007D0D70"/>
    <w:rsid w:val="007D4046"/>
    <w:rsid w:val="007F201B"/>
    <w:rsid w:val="00803DCD"/>
    <w:rsid w:val="00805A41"/>
    <w:rsid w:val="008066F2"/>
    <w:rsid w:val="00811A5F"/>
    <w:rsid w:val="008425C2"/>
    <w:rsid w:val="00846811"/>
    <w:rsid w:val="00847F74"/>
    <w:rsid w:val="00867473"/>
    <w:rsid w:val="00873D38"/>
    <w:rsid w:val="00887EEF"/>
    <w:rsid w:val="00896E54"/>
    <w:rsid w:val="00897212"/>
    <w:rsid w:val="008A1B04"/>
    <w:rsid w:val="008B43D4"/>
    <w:rsid w:val="008D2872"/>
    <w:rsid w:val="008F145A"/>
    <w:rsid w:val="008F7243"/>
    <w:rsid w:val="00912396"/>
    <w:rsid w:val="00914AB0"/>
    <w:rsid w:val="00936FE8"/>
    <w:rsid w:val="00956820"/>
    <w:rsid w:val="00966DA5"/>
    <w:rsid w:val="0098217D"/>
    <w:rsid w:val="00991F23"/>
    <w:rsid w:val="009A67B4"/>
    <w:rsid w:val="009B46C1"/>
    <w:rsid w:val="009D155F"/>
    <w:rsid w:val="009D37B9"/>
    <w:rsid w:val="009F24B1"/>
    <w:rsid w:val="009F2923"/>
    <w:rsid w:val="00A3036B"/>
    <w:rsid w:val="00A66A42"/>
    <w:rsid w:val="00A6701E"/>
    <w:rsid w:val="00A74DD0"/>
    <w:rsid w:val="00A86F4B"/>
    <w:rsid w:val="00A92667"/>
    <w:rsid w:val="00AA1A7C"/>
    <w:rsid w:val="00AA3B67"/>
    <w:rsid w:val="00AA54C1"/>
    <w:rsid w:val="00AC5506"/>
    <w:rsid w:val="00AD5094"/>
    <w:rsid w:val="00AF1EF1"/>
    <w:rsid w:val="00B00E8F"/>
    <w:rsid w:val="00B0369F"/>
    <w:rsid w:val="00B07805"/>
    <w:rsid w:val="00B528EB"/>
    <w:rsid w:val="00B80988"/>
    <w:rsid w:val="00BC6C80"/>
    <w:rsid w:val="00BE1D28"/>
    <w:rsid w:val="00C26DF3"/>
    <w:rsid w:val="00C90778"/>
    <w:rsid w:val="00C92239"/>
    <w:rsid w:val="00CC5B10"/>
    <w:rsid w:val="00CF1D13"/>
    <w:rsid w:val="00CF6391"/>
    <w:rsid w:val="00D46574"/>
    <w:rsid w:val="00D81D4C"/>
    <w:rsid w:val="00D9062D"/>
    <w:rsid w:val="00DA213A"/>
    <w:rsid w:val="00DA5473"/>
    <w:rsid w:val="00DB62B7"/>
    <w:rsid w:val="00DC3334"/>
    <w:rsid w:val="00DC5BA9"/>
    <w:rsid w:val="00DD4521"/>
    <w:rsid w:val="00DE6FB7"/>
    <w:rsid w:val="00DF21DE"/>
    <w:rsid w:val="00DF4EC9"/>
    <w:rsid w:val="00E32832"/>
    <w:rsid w:val="00E366CE"/>
    <w:rsid w:val="00E64DD6"/>
    <w:rsid w:val="00E7386E"/>
    <w:rsid w:val="00E9402E"/>
    <w:rsid w:val="00E96D9F"/>
    <w:rsid w:val="00EA1637"/>
    <w:rsid w:val="00EC0897"/>
    <w:rsid w:val="00ED4D17"/>
    <w:rsid w:val="00ED6F80"/>
    <w:rsid w:val="00ED7D23"/>
    <w:rsid w:val="00F11979"/>
    <w:rsid w:val="00F15F13"/>
    <w:rsid w:val="00F279A6"/>
    <w:rsid w:val="00F40950"/>
    <w:rsid w:val="00F721CE"/>
    <w:rsid w:val="00F74089"/>
    <w:rsid w:val="00F8176B"/>
    <w:rsid w:val="00F86C96"/>
    <w:rsid w:val="00FB14DC"/>
    <w:rsid w:val="00FE7F9D"/>
  </w:rsids>
  <m:mathPr>
    <m:mathFont m:val="Cambria Math"/>
    <m:brkBin m:val="before"/>
    <m:brkBinSub m:val="--"/>
    <m:smallFrac m:val="0"/>
    <m:dispDef/>
    <m:lMargin m:val="0"/>
    <m:rMargin m:val="0"/>
    <m:defJc m:val="centerGroup"/>
    <m:wrapRight/>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7969F85-35DF-451A-97A7-8DD40B8C8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lsdException w:name="Body Text"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0"/>
      <w:szCs w:val="20"/>
    </w:rPr>
  </w:style>
  <w:style w:type="paragraph" w:styleId="3">
    <w:name w:val="heading 3"/>
    <w:basedOn w:val="a"/>
    <w:next w:val="a"/>
    <w:link w:val="30"/>
    <w:uiPriority w:val="99"/>
    <w:qFormat/>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rFonts w:cs="Times New Roman"/>
      <w:color w:val="0000FF"/>
      <w:u w:val="single"/>
    </w:rPr>
  </w:style>
  <w:style w:type="character" w:customStyle="1" w:styleId="30">
    <w:name w:val="Заголовок 3 Знак"/>
    <w:basedOn w:val="a0"/>
    <w:link w:val="3"/>
    <w:uiPriority w:val="99"/>
    <w:semiHidden/>
    <w:locked/>
    <w:rPr>
      <w:rFonts w:ascii="Cambria" w:hAnsi="Cambria" w:cs="Times New Roman"/>
      <w:b/>
      <w:bCs/>
      <w:sz w:val="26"/>
      <w:szCs w:val="26"/>
    </w:rPr>
  </w:style>
  <w:style w:type="paragraph" w:styleId="2">
    <w:name w:val="Body Text 2"/>
    <w:basedOn w:val="a"/>
    <w:link w:val="20"/>
    <w:uiPriority w:val="99"/>
    <w:pPr>
      <w:autoSpaceDE w:val="0"/>
      <w:autoSpaceDN w:val="0"/>
    </w:pPr>
    <w:rPr>
      <w:b/>
      <w:bCs/>
      <w:i/>
      <w:iCs/>
      <w:sz w:val="24"/>
      <w:szCs w:val="24"/>
    </w:rPr>
  </w:style>
  <w:style w:type="paragraph" w:styleId="a4">
    <w:name w:val="Body Text"/>
    <w:basedOn w:val="a"/>
    <w:link w:val="a5"/>
    <w:uiPriority w:val="99"/>
    <w:rPr>
      <w:b/>
      <w:bCs/>
      <w:sz w:val="24"/>
      <w:szCs w:val="24"/>
    </w:rPr>
  </w:style>
  <w:style w:type="character" w:customStyle="1" w:styleId="20">
    <w:name w:val="Основной текст 2 Знак"/>
    <w:basedOn w:val="a0"/>
    <w:link w:val="2"/>
    <w:uiPriority w:val="99"/>
    <w:semiHidden/>
    <w:locked/>
    <w:rPr>
      <w:rFonts w:cs="Times New Roman"/>
      <w:sz w:val="20"/>
      <w:szCs w:val="20"/>
    </w:rPr>
  </w:style>
  <w:style w:type="paragraph" w:customStyle="1" w:styleId="prilozhenie">
    <w:name w:val="prilozhenie"/>
    <w:basedOn w:val="a"/>
    <w:uiPriority w:val="99"/>
    <w:pPr>
      <w:ind w:firstLine="709"/>
      <w:jc w:val="both"/>
    </w:pPr>
    <w:rPr>
      <w:sz w:val="24"/>
      <w:szCs w:val="24"/>
      <w:lang w:eastAsia="en-US"/>
    </w:rPr>
  </w:style>
  <w:style w:type="character" w:customStyle="1" w:styleId="a5">
    <w:name w:val="Основной текст Знак"/>
    <w:basedOn w:val="a0"/>
    <w:link w:val="a4"/>
    <w:uiPriority w:val="99"/>
    <w:semiHidden/>
    <w:locked/>
    <w:rPr>
      <w:rFonts w:cs="Times New Roman"/>
      <w:sz w:val="20"/>
      <w:szCs w:val="20"/>
    </w:rPr>
  </w:style>
  <w:style w:type="paragraph" w:customStyle="1" w:styleId="ConsNonformat">
    <w:name w:val="Con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styleId="31">
    <w:name w:val="Body Text 3"/>
    <w:basedOn w:val="a"/>
    <w:link w:val="32"/>
    <w:uiPriority w:val="99"/>
    <w:pPr>
      <w:spacing w:after="120"/>
    </w:pPr>
    <w:rPr>
      <w:sz w:val="16"/>
      <w:szCs w:val="16"/>
    </w:rPr>
  </w:style>
  <w:style w:type="paragraph" w:styleId="a6">
    <w:name w:val="Balloon Text"/>
    <w:basedOn w:val="a"/>
    <w:link w:val="a7"/>
    <w:uiPriority w:val="99"/>
    <w:semiHidden/>
    <w:rPr>
      <w:rFonts w:ascii="Tahoma" w:hAnsi="Tahoma" w:cs="Tahoma"/>
      <w:sz w:val="16"/>
      <w:szCs w:val="16"/>
    </w:rPr>
  </w:style>
  <w:style w:type="character" w:customStyle="1" w:styleId="32">
    <w:name w:val="Основной текст 3 Знак"/>
    <w:basedOn w:val="a0"/>
    <w:link w:val="31"/>
    <w:uiPriority w:val="99"/>
    <w:semiHidden/>
    <w:locked/>
    <w:rPr>
      <w:rFonts w:cs="Times New Roman"/>
      <w:sz w:val="16"/>
      <w:szCs w:val="16"/>
    </w:rPr>
  </w:style>
  <w:style w:type="paragraph" w:styleId="a8">
    <w:name w:val="Body Text Indent"/>
    <w:basedOn w:val="a"/>
    <w:link w:val="a9"/>
    <w:uiPriority w:val="99"/>
    <w:pPr>
      <w:spacing w:after="120"/>
      <w:ind w:left="283"/>
    </w:pPr>
    <w:rPr>
      <w:sz w:val="24"/>
      <w:szCs w:val="24"/>
    </w:rPr>
  </w:style>
  <w:style w:type="character" w:customStyle="1" w:styleId="a7">
    <w:name w:val="Текст выноски Знак"/>
    <w:basedOn w:val="a0"/>
    <w:link w:val="a6"/>
    <w:uiPriority w:val="99"/>
    <w:semiHidden/>
    <w:locked/>
    <w:rPr>
      <w:rFonts w:ascii="Tahoma" w:hAnsi="Tahoma" w:cs="Tahoma"/>
      <w:sz w:val="16"/>
      <w:szCs w:val="16"/>
    </w:rPr>
  </w:style>
  <w:style w:type="character" w:customStyle="1" w:styleId="SUBST">
    <w:name w:val="__SUBST"/>
    <w:uiPriority w:val="99"/>
    <w:rsid w:val="00DB62B7"/>
    <w:rPr>
      <w:b/>
      <w:i/>
      <w:sz w:val="22"/>
    </w:rPr>
  </w:style>
  <w:style w:type="character" w:customStyle="1" w:styleId="a9">
    <w:name w:val="Основной текст с отступом Знак"/>
    <w:basedOn w:val="a0"/>
    <w:link w:val="a8"/>
    <w:uiPriority w:val="99"/>
    <w:semiHidden/>
    <w:locked/>
    <w:rPr>
      <w:rFonts w:cs="Times New Roman"/>
      <w:sz w:val="20"/>
      <w:szCs w:val="20"/>
    </w:rPr>
  </w:style>
  <w:style w:type="paragraph" w:customStyle="1" w:styleId="1">
    <w:name w:val="Знак Знак1 Знак"/>
    <w:basedOn w:val="a"/>
    <w:uiPriority w:val="99"/>
    <w:pPr>
      <w:spacing w:after="160" w:line="240" w:lineRule="exact"/>
    </w:pPr>
    <w:rPr>
      <w:rFonts w:ascii="Verdana" w:hAnsi="Verdana" w:cs="Verdana"/>
      <w:sz w:val="24"/>
      <w:szCs w:val="24"/>
      <w:lang w:val="en-US" w:eastAsia="en-US"/>
    </w:rPr>
  </w:style>
  <w:style w:type="paragraph" w:customStyle="1" w:styleId="10">
    <w:name w:val="1"/>
    <w:basedOn w:val="a"/>
    <w:rsid w:val="00936FE8"/>
  </w:style>
  <w:style w:type="paragraph" w:customStyle="1" w:styleId="ConsPlusNormal">
    <w:name w:val="ConsPlusNormal"/>
    <w:basedOn w:val="a"/>
    <w:pPr>
      <w:autoSpaceDE w:val="0"/>
      <w:autoSpaceDN w:val="0"/>
    </w:pPr>
    <w:rPr>
      <w:rFonts w:ascii="Arial" w:hAnsi="Arial" w:cs="Arial"/>
    </w:rPr>
  </w:style>
  <w:style w:type="paragraph" w:styleId="aa">
    <w:name w:val="List Paragraph"/>
    <w:basedOn w:val="a"/>
    <w:uiPriority w:val="34"/>
    <w:qFormat/>
    <w:pPr>
      <w:ind w:left="720"/>
    </w:pPr>
    <w:rPr>
      <w:rFonts w:ascii="Calibri" w:hAnsi="Calibri"/>
      <w:sz w:val="22"/>
      <w:szCs w:val="22"/>
      <w:lang w:eastAsia="en-US"/>
    </w:rPr>
  </w:style>
  <w:style w:type="paragraph" w:styleId="ab">
    <w:name w:val="header"/>
    <w:basedOn w:val="a"/>
    <w:link w:val="ac"/>
    <w:uiPriority w:val="99"/>
    <w:unhideWhenUsed/>
    <w:rsid w:val="00887EEF"/>
    <w:pPr>
      <w:tabs>
        <w:tab w:val="center" w:pos="4677"/>
        <w:tab w:val="right" w:pos="9355"/>
      </w:tabs>
    </w:pPr>
  </w:style>
  <w:style w:type="paragraph" w:styleId="ad">
    <w:name w:val="footer"/>
    <w:basedOn w:val="a"/>
    <w:link w:val="ae"/>
    <w:uiPriority w:val="99"/>
    <w:unhideWhenUsed/>
    <w:rsid w:val="00887EEF"/>
    <w:pPr>
      <w:tabs>
        <w:tab w:val="center" w:pos="4677"/>
        <w:tab w:val="right" w:pos="9355"/>
      </w:tabs>
    </w:pPr>
  </w:style>
  <w:style w:type="character" w:customStyle="1" w:styleId="ac">
    <w:name w:val="Верхний колонтитул Знак"/>
    <w:basedOn w:val="a0"/>
    <w:link w:val="ab"/>
    <w:uiPriority w:val="99"/>
    <w:locked/>
    <w:rsid w:val="00887EEF"/>
    <w:rPr>
      <w:rFonts w:cs="Times New Roman"/>
      <w:sz w:val="20"/>
      <w:szCs w:val="20"/>
    </w:rPr>
  </w:style>
  <w:style w:type="character" w:customStyle="1" w:styleId="ae">
    <w:name w:val="Нижний колонтитул Знак"/>
    <w:basedOn w:val="a0"/>
    <w:link w:val="ad"/>
    <w:uiPriority w:val="99"/>
    <w:locked/>
    <w:rsid w:val="00887EEF"/>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hosagro.ru/ori/item4157.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614</Words>
  <Characters>4441</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Шниткова Ирина Борисовна</dc:creator>
  <cp:keywords/>
  <cp:lastModifiedBy>Шниткова Ирина Борисовна</cp:lastModifiedBy>
  <cp:revision>3</cp:revision>
  <cp:lastPrinted>2021-04-06T09:33:00Z</cp:lastPrinted>
  <dcterms:created xsi:type="dcterms:W3CDTF">2021-09-14T10:34:00Z</dcterms:created>
  <dcterms:modified xsi:type="dcterms:W3CDTF">2021-09-14T10:34:00Z</dcterms:modified>
</cp:coreProperties>
</file>