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68AB4" w14:textId="77777777" w:rsidR="00F35F64" w:rsidRDefault="00B8671C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val="ru-RU"/>
        </w:rPr>
        <w:drawing>
          <wp:inline distT="0" distB="0" distL="0" distR="0" wp14:anchorId="092CD62F" wp14:editId="18218000">
            <wp:extent cx="1171575" cy="838200"/>
            <wp:effectExtent l="0" t="0" r="0" b="0"/>
            <wp:docPr id="1073741825" name="officeArt object" descr="PhosAgro_logo_vert_r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hosAgro_logo_vert_rus" descr="PhosAgro_logo_vert_ru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03DF20" w14:textId="77777777" w:rsidR="00F35F64" w:rsidRDefault="00F35F64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1A93B042" w14:textId="77777777" w:rsidR="00F35F64" w:rsidRDefault="00C33D26">
      <w:pPr>
        <w:spacing w:after="12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C33D26">
        <w:rPr>
          <w:rFonts w:ascii="Times New Roman" w:hAnsi="Times New Roman"/>
          <w:b/>
          <w:bCs/>
          <w:lang w:val="ru-RU"/>
        </w:rPr>
        <w:t>Подведены итоги голосования на внеочередном общем собрании акционеров ФосАгро</w:t>
      </w:r>
    </w:p>
    <w:p w14:paraId="2EDDA174" w14:textId="77777777" w:rsidR="00C33D26" w:rsidRDefault="00C33D26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0787B1F1" w14:textId="248F1F99" w:rsidR="00C72499" w:rsidRDefault="00C33D26" w:rsidP="00C72499">
      <w:pPr>
        <w:spacing w:after="12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Москва</w:t>
      </w:r>
      <w:r w:rsidR="00B8671C">
        <w:rPr>
          <w:rFonts w:ascii="Times New Roman" w:hAnsi="Times New Roman"/>
          <w:b/>
          <w:bCs/>
          <w:lang w:val="ru-RU"/>
        </w:rPr>
        <w:t xml:space="preserve">. </w:t>
      </w:r>
      <w:r>
        <w:rPr>
          <w:rFonts w:ascii="Times New Roman" w:hAnsi="Times New Roman"/>
          <w:b/>
          <w:bCs/>
          <w:lang w:val="ru-RU"/>
        </w:rPr>
        <w:t>1</w:t>
      </w:r>
      <w:r w:rsidR="00FE3A49" w:rsidRPr="00FE3A49">
        <w:rPr>
          <w:rFonts w:ascii="Times New Roman" w:hAnsi="Times New Roman"/>
          <w:b/>
          <w:bCs/>
          <w:lang w:val="ru-RU"/>
        </w:rPr>
        <w:t>4</w:t>
      </w:r>
      <w:r w:rsidR="00B8671C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сентября</w:t>
      </w:r>
      <w:r w:rsidR="00B8671C">
        <w:rPr>
          <w:rFonts w:ascii="Times New Roman" w:hAnsi="Times New Roman"/>
          <w:b/>
          <w:bCs/>
          <w:lang w:val="ru-RU"/>
        </w:rPr>
        <w:t xml:space="preserve"> 2021 г.</w:t>
      </w:r>
      <w:r w:rsidR="00B8671C">
        <w:rPr>
          <w:rFonts w:ascii="Times New Roman" w:hAnsi="Times New Roman"/>
          <w:lang w:val="ru-RU"/>
        </w:rPr>
        <w:t xml:space="preserve"> </w:t>
      </w:r>
      <w:r w:rsidRPr="00C33D26">
        <w:rPr>
          <w:rFonts w:ascii="Times New Roman" w:hAnsi="Times New Roman"/>
          <w:lang w:val="ru-RU"/>
        </w:rPr>
        <w:t>Подведены итоги голосования на внеочередном общем собрании акционеров ПАО «ФосАгро» (Московская биржа, LSE: PHOR), российской вертикально-интегрированной компании, одного из ведущих мировых производителей фосфорсодержащих удобрений. </w:t>
      </w:r>
    </w:p>
    <w:p w14:paraId="7BC21302" w14:textId="7BD15527" w:rsidR="00C72499" w:rsidRDefault="00C33D26" w:rsidP="00C72499">
      <w:pPr>
        <w:spacing w:after="120"/>
        <w:ind w:firstLine="567"/>
        <w:jc w:val="both"/>
        <w:rPr>
          <w:rFonts w:ascii="Times New Roman" w:hAnsi="Times New Roman"/>
          <w:lang w:val="ru-RU"/>
        </w:rPr>
      </w:pPr>
      <w:r w:rsidRPr="00C33D26">
        <w:rPr>
          <w:rFonts w:ascii="Times New Roman" w:hAnsi="Times New Roman"/>
          <w:lang w:val="ru-RU"/>
        </w:rPr>
        <w:t xml:space="preserve">Собрание состоялось </w:t>
      </w:r>
      <w:r>
        <w:rPr>
          <w:rFonts w:ascii="Times New Roman" w:hAnsi="Times New Roman"/>
          <w:lang w:val="ru-RU"/>
        </w:rPr>
        <w:t>13</w:t>
      </w:r>
      <w:r w:rsidRPr="00C33D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сентябр</w:t>
      </w:r>
      <w:r w:rsidRPr="00C33D26">
        <w:rPr>
          <w:rFonts w:ascii="Times New Roman" w:hAnsi="Times New Roman"/>
          <w:lang w:val="ru-RU"/>
        </w:rPr>
        <w:t xml:space="preserve">я 2021 года, в соответствии с решением Совета директоров ПАО «ФосАгро», который на заседании </w:t>
      </w:r>
      <w:r>
        <w:rPr>
          <w:rFonts w:ascii="Times New Roman" w:hAnsi="Times New Roman"/>
          <w:lang w:val="ru-RU"/>
        </w:rPr>
        <w:t>6</w:t>
      </w:r>
      <w:r w:rsidRPr="00C33D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августа</w:t>
      </w:r>
      <w:r w:rsidRPr="00C33D26">
        <w:rPr>
          <w:rFonts w:ascii="Times New Roman" w:hAnsi="Times New Roman"/>
          <w:lang w:val="ru-RU"/>
        </w:rPr>
        <w:t xml:space="preserve"> 2021 года </w:t>
      </w:r>
      <w:r w:rsidRPr="00C72499">
        <w:rPr>
          <w:rFonts w:ascii="Times New Roman" w:hAnsi="Times New Roman"/>
          <w:lang w:val="ru-RU"/>
        </w:rPr>
        <w:t xml:space="preserve">отметил последовательное динамичное развитие, рост </w:t>
      </w:r>
      <w:r w:rsidR="00B73716">
        <w:rPr>
          <w:rFonts w:ascii="Times New Roman" w:hAnsi="Times New Roman"/>
          <w:lang w:val="ru-RU"/>
        </w:rPr>
        <w:t xml:space="preserve">ключевых </w:t>
      </w:r>
      <w:r w:rsidRPr="00C72499">
        <w:rPr>
          <w:rFonts w:ascii="Times New Roman" w:hAnsi="Times New Roman"/>
          <w:lang w:val="ru-RU"/>
        </w:rPr>
        <w:t xml:space="preserve">операционных и финансовых </w:t>
      </w:r>
      <w:r w:rsidR="00E76E31">
        <w:rPr>
          <w:rFonts w:ascii="Times New Roman" w:hAnsi="Times New Roman"/>
          <w:lang w:val="ru-RU"/>
        </w:rPr>
        <w:t>показател</w:t>
      </w:r>
      <w:r w:rsidR="003B2C01">
        <w:rPr>
          <w:rFonts w:ascii="Times New Roman" w:hAnsi="Times New Roman"/>
          <w:lang w:val="ru-RU"/>
        </w:rPr>
        <w:t>ей</w:t>
      </w:r>
      <w:r w:rsidR="00E76E31" w:rsidRPr="00C72499">
        <w:rPr>
          <w:rFonts w:ascii="Times New Roman" w:hAnsi="Times New Roman"/>
          <w:lang w:val="ru-RU"/>
        </w:rPr>
        <w:t xml:space="preserve"> </w:t>
      </w:r>
      <w:r w:rsidRPr="00C72499">
        <w:rPr>
          <w:rFonts w:ascii="Times New Roman" w:hAnsi="Times New Roman"/>
          <w:lang w:val="ru-RU"/>
        </w:rPr>
        <w:t xml:space="preserve">компании </w:t>
      </w:r>
      <w:r w:rsidR="004E4BEA">
        <w:rPr>
          <w:rFonts w:ascii="Times New Roman" w:hAnsi="Times New Roman"/>
          <w:lang w:val="ru-RU"/>
        </w:rPr>
        <w:t>в течение</w:t>
      </w:r>
      <w:r w:rsidR="004E4BEA" w:rsidRPr="00C72499">
        <w:rPr>
          <w:rFonts w:ascii="Times New Roman" w:hAnsi="Times New Roman"/>
          <w:lang w:val="ru-RU"/>
        </w:rPr>
        <w:t xml:space="preserve"> </w:t>
      </w:r>
      <w:r w:rsidRPr="00C72499">
        <w:rPr>
          <w:rFonts w:ascii="Times New Roman" w:hAnsi="Times New Roman"/>
          <w:lang w:val="ru-RU"/>
        </w:rPr>
        <w:t xml:space="preserve">10 лет после </w:t>
      </w:r>
      <w:r w:rsidRPr="00C72499">
        <w:rPr>
          <w:rFonts w:ascii="Times New Roman" w:hAnsi="Times New Roman"/>
        </w:rPr>
        <w:t>IPO</w:t>
      </w:r>
      <w:r w:rsidRPr="00C72499">
        <w:rPr>
          <w:rFonts w:ascii="Times New Roman" w:hAnsi="Times New Roman"/>
          <w:lang w:val="ru-RU"/>
        </w:rPr>
        <w:t xml:space="preserve"> в июле 2011 года </w:t>
      </w:r>
      <w:r w:rsidRPr="00C33D26">
        <w:rPr>
          <w:rFonts w:ascii="Times New Roman" w:hAnsi="Times New Roman"/>
          <w:lang w:val="ru-RU"/>
        </w:rPr>
        <w:t xml:space="preserve">и обсудил финансовую отчетность за </w:t>
      </w:r>
      <w:r w:rsidRPr="00C72499">
        <w:rPr>
          <w:rFonts w:ascii="Times New Roman" w:hAnsi="Times New Roman"/>
          <w:lang w:val="ru-RU"/>
        </w:rPr>
        <w:t>6 месяцев 2021 г.</w:t>
      </w:r>
      <w:r w:rsidRPr="00C72499">
        <w:rPr>
          <w:rFonts w:ascii="Times New Roman" w:hAnsi="Times New Roman"/>
          <w:lang w:val="ru-RU"/>
        </w:rPr>
        <w:tab/>
      </w:r>
      <w:r w:rsidRPr="00C33D26">
        <w:rPr>
          <w:rFonts w:ascii="Times New Roman" w:hAnsi="Times New Roman"/>
          <w:lang w:val="ru-RU"/>
        </w:rPr>
        <w:t> </w:t>
      </w:r>
    </w:p>
    <w:p w14:paraId="5F603739" w14:textId="6BF60F17" w:rsidR="00C72499" w:rsidRPr="00C72499" w:rsidRDefault="00C33D26" w:rsidP="00C72499">
      <w:pPr>
        <w:spacing w:after="120"/>
        <w:ind w:firstLine="567"/>
        <w:jc w:val="both"/>
        <w:rPr>
          <w:rFonts w:ascii="Times New Roman" w:hAnsi="Times New Roman"/>
          <w:lang w:val="ru-RU"/>
        </w:rPr>
      </w:pPr>
      <w:r w:rsidRPr="00C33D26">
        <w:rPr>
          <w:rFonts w:ascii="Times New Roman" w:hAnsi="Times New Roman"/>
          <w:lang w:val="ru-RU"/>
        </w:rPr>
        <w:t xml:space="preserve">На заседании Совета директоров были отмечены сильные результаты первого </w:t>
      </w:r>
      <w:r>
        <w:rPr>
          <w:rFonts w:ascii="Times New Roman" w:hAnsi="Times New Roman"/>
          <w:lang w:val="ru-RU"/>
        </w:rPr>
        <w:t xml:space="preserve">полугодия </w:t>
      </w:r>
      <w:r w:rsidRPr="00C33D26">
        <w:rPr>
          <w:rFonts w:ascii="Times New Roman" w:hAnsi="Times New Roman"/>
          <w:lang w:val="ru-RU"/>
        </w:rPr>
        <w:t>2021-го года</w:t>
      </w:r>
      <w:r w:rsidRPr="00C72499">
        <w:rPr>
          <w:rFonts w:ascii="Times New Roman" w:hAnsi="Times New Roman"/>
          <w:lang w:val="ru-RU"/>
        </w:rPr>
        <w:t>. Объем производства удобрений вырос на 0,7%, по сравнению с первым полугодием 2020 года, и составил 5,1 млн тонн</w:t>
      </w:r>
      <w:r w:rsidR="00C72499" w:rsidRPr="00C72499">
        <w:rPr>
          <w:rFonts w:ascii="Times New Roman" w:hAnsi="Times New Roman"/>
          <w:lang w:val="ru-RU"/>
        </w:rPr>
        <w:t xml:space="preserve">, объемы реализации удобрений сохранились на рекордно высоком </w:t>
      </w:r>
      <w:r w:rsidR="00FD4901">
        <w:rPr>
          <w:rFonts w:ascii="Times New Roman" w:hAnsi="Times New Roman"/>
          <w:lang w:val="ru-RU"/>
        </w:rPr>
        <w:t xml:space="preserve">для ФосАгро </w:t>
      </w:r>
      <w:r w:rsidR="00C72499" w:rsidRPr="00C72499">
        <w:rPr>
          <w:rFonts w:ascii="Times New Roman" w:hAnsi="Times New Roman"/>
          <w:lang w:val="ru-RU"/>
        </w:rPr>
        <w:t xml:space="preserve">уровне. </w:t>
      </w:r>
      <w:r w:rsidRPr="00C72499">
        <w:rPr>
          <w:rFonts w:ascii="Times New Roman" w:hAnsi="Times New Roman"/>
          <w:lang w:val="ru-RU"/>
        </w:rPr>
        <w:t>Этому способствовали реализованные инвестиционные проекты по строительству новых и модернизации действующих мощностей, хороший сезонный спрос на н</w:t>
      </w:r>
      <w:r w:rsidR="00C72499">
        <w:rPr>
          <w:rFonts w:ascii="Times New Roman" w:hAnsi="Times New Roman"/>
          <w:lang w:val="ru-RU"/>
        </w:rPr>
        <w:t xml:space="preserve">аших традиционных рынках сбыта </w:t>
      </w:r>
      <w:r w:rsidRPr="00C72499">
        <w:rPr>
          <w:rFonts w:ascii="Times New Roman" w:hAnsi="Times New Roman"/>
          <w:lang w:val="ru-RU"/>
        </w:rPr>
        <w:t xml:space="preserve">и высокая доступность удобрений для фермеров. </w:t>
      </w:r>
    </w:p>
    <w:p w14:paraId="09337D85" w14:textId="2BBD75D1" w:rsidR="00C33D26" w:rsidRDefault="00C72499" w:rsidP="00C72499">
      <w:pPr>
        <w:spacing w:after="12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ФосАгро продолжает реализацию Стратегии развития-2025, в</w:t>
      </w:r>
      <w:r w:rsidR="00C33D26" w:rsidRPr="00C33D26">
        <w:rPr>
          <w:rFonts w:ascii="Times New Roman" w:hAnsi="Times New Roman"/>
          <w:lang w:val="ru-RU"/>
        </w:rPr>
        <w:t xml:space="preserve"> рамках </w:t>
      </w:r>
      <w:r>
        <w:rPr>
          <w:rFonts w:ascii="Times New Roman" w:hAnsi="Times New Roman"/>
          <w:lang w:val="ru-RU"/>
        </w:rPr>
        <w:t>которой</w:t>
      </w:r>
      <w:r w:rsidR="00C33D26" w:rsidRPr="00C33D26">
        <w:rPr>
          <w:rFonts w:ascii="Times New Roman" w:hAnsi="Times New Roman"/>
          <w:lang w:val="ru-RU"/>
        </w:rPr>
        <w:t xml:space="preserve"> </w:t>
      </w:r>
      <w:r w:rsidR="00F37D5F">
        <w:rPr>
          <w:rFonts w:ascii="Times New Roman" w:hAnsi="Times New Roman"/>
          <w:lang w:val="ru-RU"/>
        </w:rPr>
        <w:t>завершается</w:t>
      </w:r>
      <w:r w:rsidR="00F37D5F" w:rsidRPr="00C33D26">
        <w:rPr>
          <w:rFonts w:ascii="Times New Roman" w:hAnsi="Times New Roman"/>
          <w:lang w:val="ru-RU"/>
        </w:rPr>
        <w:t xml:space="preserve"> </w:t>
      </w:r>
      <w:r w:rsidR="00C33D26" w:rsidRPr="00C33D26">
        <w:rPr>
          <w:rFonts w:ascii="Times New Roman" w:hAnsi="Times New Roman"/>
          <w:lang w:val="ru-RU"/>
        </w:rPr>
        <w:t xml:space="preserve">строительство современного производственного комплекса по </w:t>
      </w:r>
      <w:r w:rsidR="00054866">
        <w:rPr>
          <w:rFonts w:ascii="Times New Roman" w:hAnsi="Times New Roman"/>
          <w:lang w:val="ru-RU"/>
        </w:rPr>
        <w:t>выпуску</w:t>
      </w:r>
      <w:r w:rsidR="00C33D26" w:rsidRPr="00C33D26">
        <w:rPr>
          <w:rFonts w:ascii="Times New Roman" w:hAnsi="Times New Roman"/>
          <w:lang w:val="ru-RU"/>
        </w:rPr>
        <w:t xml:space="preserve"> минеральных удобрений в </w:t>
      </w:r>
      <w:proofErr w:type="spellStart"/>
      <w:r w:rsidR="00C33D26" w:rsidRPr="00C33D26">
        <w:rPr>
          <w:rFonts w:ascii="Times New Roman" w:hAnsi="Times New Roman"/>
          <w:lang w:val="ru-RU"/>
        </w:rPr>
        <w:t>г.Волхов</w:t>
      </w:r>
      <w:proofErr w:type="spellEnd"/>
      <w:r w:rsidR="00C33D26" w:rsidRPr="00C33D26">
        <w:rPr>
          <w:rFonts w:ascii="Times New Roman" w:hAnsi="Times New Roman"/>
          <w:lang w:val="ru-RU"/>
        </w:rPr>
        <w:t xml:space="preserve">. </w:t>
      </w:r>
      <w:r w:rsidRPr="00C72499">
        <w:rPr>
          <w:rFonts w:ascii="Times New Roman" w:hAnsi="Times New Roman"/>
          <w:lang w:val="ru-RU"/>
        </w:rPr>
        <w:t xml:space="preserve">Два первых пусковых комплекса суммарной мощностью более 800 тысяч тонн MAP введены в марте и июне 2021 года, </w:t>
      </w:r>
      <w:r w:rsidR="00B969D3">
        <w:rPr>
          <w:rFonts w:ascii="Times New Roman" w:hAnsi="Times New Roman"/>
          <w:lang w:val="ru-RU"/>
        </w:rPr>
        <w:t xml:space="preserve">ожидается, что </w:t>
      </w:r>
      <w:r w:rsidRPr="00C72499">
        <w:rPr>
          <w:rFonts w:ascii="Times New Roman" w:hAnsi="Times New Roman"/>
          <w:lang w:val="ru-RU"/>
        </w:rPr>
        <w:t xml:space="preserve">до конца года будут введены новые производства серной кислоты и утилизационная теплоэлектроцентраль. </w:t>
      </w:r>
      <w:r w:rsidRPr="00C33D26">
        <w:rPr>
          <w:rFonts w:ascii="Times New Roman" w:hAnsi="Times New Roman"/>
          <w:lang w:val="ru-RU"/>
        </w:rPr>
        <w:t xml:space="preserve">После полного завершения проекта </w:t>
      </w:r>
      <w:r w:rsidR="00EA03B8">
        <w:rPr>
          <w:rFonts w:ascii="Times New Roman" w:hAnsi="Times New Roman"/>
          <w:lang w:val="ru-RU"/>
        </w:rPr>
        <w:t xml:space="preserve">ожидаемая </w:t>
      </w:r>
      <w:r w:rsidRPr="00C33D26">
        <w:rPr>
          <w:rFonts w:ascii="Times New Roman" w:hAnsi="Times New Roman"/>
          <w:lang w:val="ru-RU"/>
        </w:rPr>
        <w:t>суммарная мощность новых агрегатов производственного комплекса достигнет почти 900 тыс. тонн, что обеспечит долгосрочный рост операционных показателей Группы.</w:t>
      </w:r>
      <w:r>
        <w:rPr>
          <w:rFonts w:ascii="Times New Roman" w:hAnsi="Times New Roman"/>
          <w:lang w:val="ru-RU"/>
        </w:rPr>
        <w:t xml:space="preserve"> </w:t>
      </w:r>
      <w:r w:rsidRPr="00C72499">
        <w:rPr>
          <w:rFonts w:ascii="Times New Roman" w:hAnsi="Times New Roman"/>
          <w:lang w:val="ru-RU"/>
        </w:rPr>
        <w:t xml:space="preserve">Все производства соответствуют наилучшим доступным технологиям и </w:t>
      </w:r>
      <w:r w:rsidR="00196146">
        <w:rPr>
          <w:rFonts w:ascii="Times New Roman" w:hAnsi="Times New Roman"/>
          <w:lang w:val="ru-RU"/>
        </w:rPr>
        <w:t xml:space="preserve">всем </w:t>
      </w:r>
      <w:r w:rsidR="003C2513">
        <w:rPr>
          <w:rFonts w:ascii="Times New Roman" w:hAnsi="Times New Roman"/>
          <w:lang w:val="ru-RU"/>
        </w:rPr>
        <w:t>применимым</w:t>
      </w:r>
      <w:r w:rsidRPr="00C72499">
        <w:rPr>
          <w:rFonts w:ascii="Times New Roman" w:hAnsi="Times New Roman"/>
          <w:lang w:val="ru-RU"/>
        </w:rPr>
        <w:t xml:space="preserve"> экологическим требованиям. </w:t>
      </w:r>
    </w:p>
    <w:p w14:paraId="17631BCE" w14:textId="1C2ED0AF" w:rsidR="00054866" w:rsidRDefault="00C33D26" w:rsidP="00054866">
      <w:pPr>
        <w:spacing w:after="120"/>
        <w:ind w:firstLine="567"/>
        <w:jc w:val="both"/>
        <w:rPr>
          <w:rFonts w:ascii="Times New Roman" w:hAnsi="Times New Roman"/>
          <w:lang w:val="ru-RU"/>
        </w:rPr>
      </w:pPr>
      <w:r w:rsidRPr="00C33D26">
        <w:rPr>
          <w:rFonts w:ascii="Times New Roman" w:hAnsi="Times New Roman"/>
          <w:lang w:val="ru-RU"/>
        </w:rPr>
        <w:t>Акционеры ПАО «ФосАгро» на внеочередном общем собрании о</w:t>
      </w:r>
      <w:r w:rsidR="00196146">
        <w:rPr>
          <w:rFonts w:ascii="Times New Roman" w:hAnsi="Times New Roman"/>
          <w:lang w:val="ru-RU"/>
        </w:rPr>
        <w:t>добрили решение о</w:t>
      </w:r>
      <w:r w:rsidRPr="00C33D26">
        <w:rPr>
          <w:rFonts w:ascii="Times New Roman" w:hAnsi="Times New Roman"/>
          <w:lang w:val="ru-RU"/>
        </w:rPr>
        <w:t xml:space="preserve"> выплате дивидендов в </w:t>
      </w:r>
      <w:r w:rsidR="005F7C12">
        <w:rPr>
          <w:rFonts w:ascii="Times New Roman" w:hAnsi="Times New Roman"/>
          <w:lang w:val="ru-RU"/>
        </w:rPr>
        <w:t xml:space="preserve">общем </w:t>
      </w:r>
      <w:r w:rsidRPr="00C33D26">
        <w:rPr>
          <w:rFonts w:ascii="Times New Roman" w:hAnsi="Times New Roman"/>
          <w:lang w:val="ru-RU"/>
        </w:rPr>
        <w:t xml:space="preserve">объеме </w:t>
      </w:r>
      <w:r w:rsidR="00C72499" w:rsidRPr="00054866">
        <w:rPr>
          <w:rFonts w:ascii="Times New Roman" w:hAnsi="Times New Roman"/>
          <w:lang w:val="ru-RU"/>
        </w:rPr>
        <w:t xml:space="preserve">20,2 млрд руб. </w:t>
      </w:r>
      <w:r w:rsidR="00384319">
        <w:rPr>
          <w:rFonts w:ascii="Times New Roman" w:hAnsi="Times New Roman"/>
          <w:lang w:val="ru-RU"/>
        </w:rPr>
        <w:t>или</w:t>
      </w:r>
      <w:r w:rsidR="00C72499" w:rsidRPr="00054866">
        <w:rPr>
          <w:rFonts w:ascii="Times New Roman" w:hAnsi="Times New Roman"/>
          <w:lang w:val="ru-RU"/>
        </w:rPr>
        <w:t xml:space="preserve">156 рублей на акцию (52 рубля на глобальную депозитарную расписку). </w:t>
      </w:r>
      <w:r w:rsidRPr="00C33D26">
        <w:rPr>
          <w:rFonts w:ascii="Times New Roman" w:hAnsi="Times New Roman"/>
          <w:lang w:val="ru-RU"/>
        </w:rPr>
        <w:t xml:space="preserve">В качестве даты закрытия реестра для получения дивидендов было установлено </w:t>
      </w:r>
      <w:r w:rsidR="00C72499">
        <w:rPr>
          <w:rFonts w:ascii="Times New Roman" w:hAnsi="Times New Roman"/>
          <w:lang w:val="ru-RU"/>
        </w:rPr>
        <w:t>24</w:t>
      </w:r>
      <w:r w:rsidRPr="00C33D26">
        <w:rPr>
          <w:rFonts w:ascii="Times New Roman" w:hAnsi="Times New Roman"/>
          <w:lang w:val="ru-RU"/>
        </w:rPr>
        <w:t xml:space="preserve"> </w:t>
      </w:r>
      <w:r w:rsidR="00C72499">
        <w:rPr>
          <w:rFonts w:ascii="Times New Roman" w:hAnsi="Times New Roman"/>
          <w:lang w:val="ru-RU"/>
        </w:rPr>
        <w:t>сентябр</w:t>
      </w:r>
      <w:r w:rsidRPr="00C33D26">
        <w:rPr>
          <w:rFonts w:ascii="Times New Roman" w:hAnsi="Times New Roman"/>
          <w:lang w:val="ru-RU"/>
        </w:rPr>
        <w:t>я 2021 г.</w:t>
      </w:r>
    </w:p>
    <w:p w14:paraId="502E620F" w14:textId="7D4FF3B9" w:rsidR="00F35F64" w:rsidRDefault="00C33D26" w:rsidP="00054866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  <w:r w:rsidRPr="00C33D26">
        <w:rPr>
          <w:rFonts w:ascii="Times New Roman" w:hAnsi="Times New Roman"/>
          <w:lang w:val="ru-RU"/>
        </w:rPr>
        <w:lastRenderedPageBreak/>
        <w:t>«</w:t>
      </w:r>
      <w:r w:rsidR="00C72499" w:rsidRPr="00054866">
        <w:rPr>
          <w:rFonts w:ascii="Times New Roman" w:hAnsi="Times New Roman"/>
          <w:lang w:val="ru-RU"/>
        </w:rPr>
        <w:t xml:space="preserve">Вот уже 20 лет – в этом году ФосАгро празднует юбилей – </w:t>
      </w:r>
      <w:r w:rsidR="00054866" w:rsidRPr="00054866">
        <w:rPr>
          <w:rFonts w:ascii="Times New Roman" w:hAnsi="Times New Roman"/>
          <w:lang w:val="ru-RU"/>
        </w:rPr>
        <w:t>наша компания</w:t>
      </w:r>
      <w:r w:rsidR="00C72499" w:rsidRPr="00C33D26">
        <w:rPr>
          <w:rFonts w:ascii="Times New Roman" w:hAnsi="Times New Roman"/>
          <w:lang w:val="ru-RU"/>
        </w:rPr>
        <w:t xml:space="preserve"> стрем</w:t>
      </w:r>
      <w:r w:rsidR="00054866" w:rsidRPr="00054866">
        <w:rPr>
          <w:rFonts w:ascii="Times New Roman" w:hAnsi="Times New Roman"/>
          <w:lang w:val="ru-RU"/>
        </w:rPr>
        <w:t>ится</w:t>
      </w:r>
      <w:r w:rsidR="00C72499" w:rsidRPr="00C33D26">
        <w:rPr>
          <w:rFonts w:ascii="Times New Roman" w:hAnsi="Times New Roman"/>
          <w:lang w:val="ru-RU"/>
        </w:rPr>
        <w:t xml:space="preserve"> к постоянному повышению операционной эффективности и росту объемов производства удобрений при сохранении курса на обеспечение лидерства в области ESG.</w:t>
      </w:r>
      <w:r w:rsidR="00054866" w:rsidRPr="00054866">
        <w:rPr>
          <w:rFonts w:ascii="Times New Roman" w:hAnsi="Times New Roman"/>
          <w:lang w:val="ru-RU"/>
        </w:rPr>
        <w:t xml:space="preserve"> </w:t>
      </w:r>
      <w:r w:rsidR="00C72499">
        <w:rPr>
          <w:rFonts w:ascii="Times New Roman" w:hAnsi="Times New Roman"/>
          <w:lang w:val="ru-RU"/>
        </w:rPr>
        <w:t>У</w:t>
      </w:r>
      <w:r w:rsidRPr="00C33D26">
        <w:rPr>
          <w:rFonts w:ascii="Times New Roman" w:hAnsi="Times New Roman"/>
          <w:lang w:val="ru-RU"/>
        </w:rPr>
        <w:t xml:space="preserve">веренный рост производственных и финансовых результатов в первом </w:t>
      </w:r>
      <w:r w:rsidR="00C72499">
        <w:rPr>
          <w:rFonts w:ascii="Times New Roman" w:hAnsi="Times New Roman"/>
          <w:lang w:val="ru-RU"/>
        </w:rPr>
        <w:t>полугодии 2021 года п</w:t>
      </w:r>
      <w:r w:rsidRPr="00C33D26">
        <w:rPr>
          <w:rFonts w:ascii="Times New Roman" w:hAnsi="Times New Roman"/>
          <w:lang w:val="ru-RU"/>
        </w:rPr>
        <w:t xml:space="preserve">озволяет </w:t>
      </w:r>
      <w:r w:rsidR="00C72499">
        <w:rPr>
          <w:rFonts w:ascii="Times New Roman" w:hAnsi="Times New Roman"/>
          <w:lang w:val="ru-RU"/>
        </w:rPr>
        <w:t>ФосАгро</w:t>
      </w:r>
      <w:r w:rsidRPr="00C33D26">
        <w:rPr>
          <w:rFonts w:ascii="Times New Roman" w:hAnsi="Times New Roman"/>
          <w:lang w:val="ru-RU"/>
        </w:rPr>
        <w:t xml:space="preserve"> стабильно финансировать новые стратегические </w:t>
      </w:r>
      <w:proofErr w:type="spellStart"/>
      <w:r w:rsidRPr="00C33D26">
        <w:rPr>
          <w:rFonts w:ascii="Times New Roman" w:hAnsi="Times New Roman"/>
          <w:lang w:val="ru-RU"/>
        </w:rPr>
        <w:t>инвест</w:t>
      </w:r>
      <w:proofErr w:type="spellEnd"/>
      <w:r w:rsidRPr="00C33D26">
        <w:rPr>
          <w:rFonts w:ascii="Times New Roman" w:hAnsi="Times New Roman"/>
          <w:lang w:val="ru-RU"/>
        </w:rPr>
        <w:t xml:space="preserve"> проекты – в этом году на инвестиции мы </w:t>
      </w:r>
      <w:r w:rsidR="009F589D">
        <w:rPr>
          <w:rFonts w:ascii="Times New Roman" w:hAnsi="Times New Roman"/>
          <w:lang w:val="ru-RU"/>
        </w:rPr>
        <w:t xml:space="preserve">планируем </w:t>
      </w:r>
      <w:r w:rsidRPr="00C33D26">
        <w:rPr>
          <w:rFonts w:ascii="Times New Roman" w:hAnsi="Times New Roman"/>
          <w:lang w:val="ru-RU"/>
        </w:rPr>
        <w:t>направи</w:t>
      </w:r>
      <w:r w:rsidR="009F589D">
        <w:rPr>
          <w:rFonts w:ascii="Times New Roman" w:hAnsi="Times New Roman"/>
          <w:lang w:val="ru-RU"/>
        </w:rPr>
        <w:t>ть</w:t>
      </w:r>
      <w:r w:rsidRPr="00C33D26">
        <w:rPr>
          <w:rFonts w:ascii="Times New Roman" w:hAnsi="Times New Roman"/>
          <w:lang w:val="ru-RU"/>
        </w:rPr>
        <w:t xml:space="preserve"> 4</w:t>
      </w:r>
      <w:r w:rsidR="00786773">
        <w:rPr>
          <w:rFonts w:ascii="Times New Roman" w:hAnsi="Times New Roman"/>
          <w:lang w:val="ru-RU"/>
        </w:rPr>
        <w:t>6</w:t>
      </w:r>
      <w:r w:rsidRPr="00C33D26">
        <w:rPr>
          <w:rFonts w:ascii="Times New Roman" w:hAnsi="Times New Roman"/>
          <w:lang w:val="ru-RU"/>
        </w:rPr>
        <w:t>,5 млрд рублей</w:t>
      </w:r>
      <w:r w:rsidR="003A613C">
        <w:rPr>
          <w:rFonts w:ascii="Times New Roman" w:hAnsi="Times New Roman"/>
          <w:lang w:val="ru-RU"/>
        </w:rPr>
        <w:t xml:space="preserve"> </w:t>
      </w:r>
      <w:r w:rsidR="003A613C" w:rsidRPr="003A613C">
        <w:rPr>
          <w:rFonts w:ascii="Times New Roman" w:hAnsi="Times New Roman"/>
          <w:lang w:val="ru-RU"/>
        </w:rPr>
        <w:t>(</w:t>
      </w:r>
      <w:r w:rsidR="00F37D5F" w:rsidRPr="00FE3A49">
        <w:rPr>
          <w:rFonts w:ascii="Times New Roman" w:hAnsi="Times New Roman"/>
          <w:lang w:val="ru-RU"/>
        </w:rPr>
        <w:t>включая капитализируемые ремонты</w:t>
      </w:r>
      <w:r w:rsidR="003A613C" w:rsidRPr="003A613C">
        <w:rPr>
          <w:rFonts w:ascii="Times New Roman" w:hAnsi="Times New Roman"/>
          <w:lang w:val="ru-RU"/>
        </w:rPr>
        <w:t>)</w:t>
      </w:r>
      <w:r w:rsidRPr="00C33D26">
        <w:rPr>
          <w:rFonts w:ascii="Times New Roman" w:hAnsi="Times New Roman"/>
          <w:lang w:val="ru-RU"/>
        </w:rPr>
        <w:t xml:space="preserve">, </w:t>
      </w:r>
      <w:r w:rsidR="008028CC">
        <w:rPr>
          <w:rFonts w:ascii="Times New Roman" w:hAnsi="Times New Roman"/>
          <w:lang w:val="ru-RU"/>
        </w:rPr>
        <w:t>мы</w:t>
      </w:r>
      <w:r w:rsidR="00C72499">
        <w:rPr>
          <w:rFonts w:ascii="Times New Roman" w:hAnsi="Times New Roman"/>
          <w:lang w:val="ru-RU"/>
        </w:rPr>
        <w:t xml:space="preserve"> также </w:t>
      </w:r>
      <w:r w:rsidR="008028CC">
        <w:rPr>
          <w:rFonts w:ascii="Times New Roman" w:hAnsi="Times New Roman"/>
          <w:lang w:val="ru-RU"/>
        </w:rPr>
        <w:t xml:space="preserve">намерены </w:t>
      </w:r>
      <w:r w:rsidRPr="00C33D26">
        <w:rPr>
          <w:rFonts w:ascii="Times New Roman" w:hAnsi="Times New Roman"/>
          <w:lang w:val="ru-RU"/>
        </w:rPr>
        <w:t xml:space="preserve">продолжать </w:t>
      </w:r>
      <w:r w:rsidR="00C72499">
        <w:rPr>
          <w:rFonts w:ascii="Times New Roman" w:hAnsi="Times New Roman"/>
          <w:lang w:val="ru-RU"/>
        </w:rPr>
        <w:t>реализацию</w:t>
      </w:r>
      <w:r w:rsidRPr="00C33D26">
        <w:rPr>
          <w:rFonts w:ascii="Times New Roman" w:hAnsi="Times New Roman"/>
          <w:lang w:val="ru-RU"/>
        </w:rPr>
        <w:t xml:space="preserve"> социальных и благотворительных программ и осуществлять дивидендные выплаты. Сегодня мы</w:t>
      </w:r>
      <w:r w:rsidR="00C72499">
        <w:rPr>
          <w:rFonts w:ascii="Times New Roman" w:hAnsi="Times New Roman"/>
          <w:lang w:val="ru-RU"/>
        </w:rPr>
        <w:t xml:space="preserve"> активно</w:t>
      </w:r>
      <w:r w:rsidRPr="00C33D26">
        <w:rPr>
          <w:rFonts w:ascii="Times New Roman" w:hAnsi="Times New Roman"/>
          <w:lang w:val="ru-RU"/>
        </w:rPr>
        <w:t xml:space="preserve"> прорабатываем планы дальнейшего развития компании на период до 2030 года. </w:t>
      </w:r>
      <w:r w:rsidR="00C72499">
        <w:rPr>
          <w:rFonts w:ascii="Times New Roman" w:hAnsi="Times New Roman"/>
          <w:lang w:val="ru-RU"/>
        </w:rPr>
        <w:t>Д</w:t>
      </w:r>
      <w:r w:rsidR="00C72499" w:rsidRPr="00C33D26">
        <w:rPr>
          <w:rFonts w:ascii="Times New Roman" w:hAnsi="Times New Roman"/>
          <w:lang w:val="ru-RU"/>
        </w:rPr>
        <w:t xml:space="preserve">о конца этого года </w:t>
      </w:r>
      <w:r w:rsidR="00C72499">
        <w:rPr>
          <w:rFonts w:ascii="Times New Roman" w:hAnsi="Times New Roman"/>
          <w:lang w:val="ru-RU"/>
        </w:rPr>
        <w:t>ч</w:t>
      </w:r>
      <w:r w:rsidR="00C72499" w:rsidRPr="00C33D26">
        <w:rPr>
          <w:rFonts w:ascii="Times New Roman" w:hAnsi="Times New Roman"/>
          <w:lang w:val="ru-RU"/>
        </w:rPr>
        <w:t xml:space="preserve">асть из них в виде конкретных </w:t>
      </w:r>
      <w:proofErr w:type="spellStart"/>
      <w:r w:rsidR="00C72499" w:rsidRPr="00C33D26">
        <w:rPr>
          <w:rFonts w:ascii="Times New Roman" w:hAnsi="Times New Roman"/>
          <w:lang w:val="ru-RU"/>
        </w:rPr>
        <w:t>инвест</w:t>
      </w:r>
      <w:proofErr w:type="spellEnd"/>
      <w:r w:rsidR="00C72499" w:rsidRPr="00C33D26">
        <w:rPr>
          <w:rFonts w:ascii="Times New Roman" w:hAnsi="Times New Roman"/>
          <w:lang w:val="ru-RU"/>
        </w:rPr>
        <w:t xml:space="preserve"> проектов </w:t>
      </w:r>
      <w:r w:rsidR="00C72499">
        <w:rPr>
          <w:rFonts w:ascii="Times New Roman" w:hAnsi="Times New Roman"/>
          <w:lang w:val="ru-RU"/>
        </w:rPr>
        <w:t xml:space="preserve">мы планируем включить </w:t>
      </w:r>
      <w:r w:rsidR="00C72499" w:rsidRPr="00C33D26">
        <w:rPr>
          <w:rFonts w:ascii="Times New Roman" w:hAnsi="Times New Roman"/>
          <w:lang w:val="ru-RU"/>
        </w:rPr>
        <w:t>в обновленную редакцию Стратегии развития</w:t>
      </w:r>
      <w:r w:rsidR="00054866">
        <w:rPr>
          <w:rFonts w:ascii="Times New Roman" w:hAnsi="Times New Roman"/>
          <w:lang w:val="ru-RU"/>
        </w:rPr>
        <w:t>-</w:t>
      </w:r>
      <w:r w:rsidR="00C72499" w:rsidRPr="00C33D26">
        <w:rPr>
          <w:rFonts w:ascii="Times New Roman" w:hAnsi="Times New Roman"/>
          <w:lang w:val="ru-RU"/>
        </w:rPr>
        <w:t xml:space="preserve">2025 </w:t>
      </w:r>
      <w:r w:rsidR="00C72499">
        <w:rPr>
          <w:rFonts w:ascii="Times New Roman" w:hAnsi="Times New Roman"/>
          <w:lang w:val="ru-RU"/>
        </w:rPr>
        <w:t xml:space="preserve">и вынести её </w:t>
      </w:r>
      <w:r w:rsidRPr="00C33D26">
        <w:rPr>
          <w:rFonts w:ascii="Times New Roman" w:hAnsi="Times New Roman"/>
          <w:lang w:val="ru-RU"/>
        </w:rPr>
        <w:t xml:space="preserve">на рассмотрение Совета директоров», - отметил </w:t>
      </w:r>
      <w:r w:rsidRPr="00C72499">
        <w:rPr>
          <w:rFonts w:ascii="Times New Roman" w:hAnsi="Times New Roman"/>
          <w:b/>
          <w:lang w:val="ru-RU"/>
        </w:rPr>
        <w:t>генеральный директор ПАО «ФосАгро», глава Российской ассоциации производителей удобрений Андрей Гурьев</w:t>
      </w:r>
      <w:r w:rsidRPr="00C33D26">
        <w:rPr>
          <w:rFonts w:ascii="Times New Roman" w:hAnsi="Times New Roman"/>
          <w:lang w:val="ru-RU"/>
        </w:rPr>
        <w:t>.</w:t>
      </w:r>
    </w:p>
    <w:p w14:paraId="1E74CA72" w14:textId="77777777" w:rsidR="00F35F64" w:rsidRDefault="00F35F64">
      <w:pPr>
        <w:spacing w:after="144"/>
        <w:ind w:firstLine="708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p w14:paraId="01872799" w14:textId="77777777" w:rsidR="00C72499" w:rsidRDefault="00C72499">
      <w:pPr>
        <w:spacing w:after="144"/>
        <w:ind w:firstLine="708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</w:p>
    <w:p w14:paraId="3906C431" w14:textId="77777777" w:rsidR="00C72499" w:rsidRDefault="00C72499">
      <w:pPr>
        <w:spacing w:after="144"/>
        <w:ind w:firstLine="708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</w:p>
    <w:p w14:paraId="53A15AB3" w14:textId="77777777" w:rsidR="00C72499" w:rsidRDefault="00C72499">
      <w:pPr>
        <w:spacing w:after="144"/>
        <w:ind w:firstLine="708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</w:p>
    <w:p w14:paraId="70217498" w14:textId="77777777" w:rsidR="00F35F64" w:rsidRDefault="00B8671C">
      <w:pPr>
        <w:spacing w:after="144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>О Компании</w:t>
      </w:r>
    </w:p>
    <w:p w14:paraId="4E82D6D1" w14:textId="77777777" w:rsidR="00F35F64" w:rsidRDefault="00B8671C">
      <w:pPr>
        <w:spacing w:before="60" w:after="60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i/>
          <w:iCs/>
          <w:sz w:val="18"/>
          <w:szCs w:val="18"/>
          <w:lang w:val="ru-RU"/>
        </w:rPr>
        <w:t>ФосАгро (</w:t>
      </w:r>
      <w:hyperlink r:id="rId10" w:history="1">
        <w:r>
          <w:rPr>
            <w:rStyle w:val="Hyperlink0"/>
            <w:rFonts w:eastAsia="Calibri"/>
          </w:rPr>
          <w:t>www.phosagro.ru</w:t>
        </w:r>
      </w:hyperlink>
      <w:r>
        <w:rPr>
          <w:rFonts w:ascii="Times New Roman" w:hAnsi="Times New Roman"/>
          <w:i/>
          <w:iCs/>
          <w:sz w:val="18"/>
          <w:szCs w:val="18"/>
          <w:lang w:val="ru-RU"/>
        </w:rPr>
        <w:t>) – российская вертикально-интегрированная компания, занимающая одну из лидирующих позиций в мире по объемам выпуска фосфорсодержащих минеральных удобрений и высокосортного апатитового концентрата с содержанием P</w:t>
      </w:r>
      <w:r>
        <w:rPr>
          <w:rFonts w:ascii="Times New Roman" w:hAnsi="Times New Roman"/>
          <w:i/>
          <w:iCs/>
          <w:sz w:val="18"/>
          <w:szCs w:val="18"/>
          <w:vertAlign w:val="subscript"/>
          <w:lang w:val="ru-RU"/>
        </w:rPr>
        <w:t>2</w:t>
      </w:r>
      <w:r>
        <w:rPr>
          <w:rFonts w:ascii="Times New Roman" w:hAnsi="Times New Roman"/>
          <w:i/>
          <w:iCs/>
          <w:sz w:val="18"/>
          <w:szCs w:val="18"/>
          <w:lang w:val="ru-RU"/>
        </w:rPr>
        <w:t>O</w:t>
      </w:r>
      <w:r>
        <w:rPr>
          <w:rFonts w:ascii="Times New Roman" w:hAnsi="Times New Roman"/>
          <w:i/>
          <w:iCs/>
          <w:sz w:val="18"/>
          <w:szCs w:val="18"/>
          <w:vertAlign w:val="subscript"/>
          <w:lang w:val="ru-RU"/>
        </w:rPr>
        <w:t>5</w:t>
      </w:r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39% и более. Удобрения ФосАгро отличаются высокой эффективностью, обеспечивают улучшенные экологические характеристики производимой сельхозпродукции и не приводят к загрязнению почв тяжелыми металлами.</w:t>
      </w:r>
    </w:p>
    <w:p w14:paraId="0C77E379" w14:textId="77777777" w:rsidR="00F35F64" w:rsidRDefault="00B8671C">
      <w:pPr>
        <w:spacing w:before="60" w:after="60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i/>
          <w:iCs/>
          <w:sz w:val="18"/>
          <w:szCs w:val="18"/>
          <w:lang w:val="ru-RU"/>
        </w:rPr>
        <w:t>Группа «ФосАгро» является крупнейшим европейским производителем фосфорсодержащих удобрений (по суммарному объему мощностей производства DAP/MAP/NP/NPK/NPS), крупнейшим мировым производителем высокосортного фосфорного сырья с содержанием P</w:t>
      </w:r>
      <w:r>
        <w:rPr>
          <w:rFonts w:ascii="Times New Roman" w:hAnsi="Times New Roman"/>
          <w:i/>
          <w:iCs/>
          <w:sz w:val="18"/>
          <w:szCs w:val="18"/>
          <w:vertAlign w:val="subscript"/>
          <w:lang w:val="ru-RU"/>
        </w:rPr>
        <w:t>2</w:t>
      </w:r>
      <w:r>
        <w:rPr>
          <w:rFonts w:ascii="Times New Roman" w:hAnsi="Times New Roman"/>
          <w:i/>
          <w:iCs/>
          <w:sz w:val="18"/>
          <w:szCs w:val="18"/>
          <w:lang w:val="ru-RU"/>
        </w:rPr>
        <w:t>O</w:t>
      </w:r>
      <w:r>
        <w:rPr>
          <w:rFonts w:ascii="Times New Roman" w:hAnsi="Times New Roman"/>
          <w:i/>
          <w:iCs/>
          <w:sz w:val="18"/>
          <w:szCs w:val="18"/>
          <w:vertAlign w:val="subscript"/>
          <w:lang w:val="ru-RU"/>
        </w:rPr>
        <w:t>5</w:t>
      </w:r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39% и одним из ведущих мировых производителей аммофоса и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диаммонийфосфата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, одним из ведущих в Европе и единственным в России производителем кормового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монокальцийфосфата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(MCP), а также единственным в России производителем нефелинового концентрата.</w:t>
      </w:r>
    </w:p>
    <w:p w14:paraId="6E5E60BC" w14:textId="77777777" w:rsidR="00F35F64" w:rsidRDefault="00B8671C">
      <w:pPr>
        <w:spacing w:before="60" w:after="60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Основная продукция компании, включая фосфатное сырье, свыше 50 марок удобрений, кормовые фосфаты, аммиак и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триполифосфат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натрия, используются потребителями из 102 стран мира на всех обитаемых континентах. Приоритетными рынками сбыта продукции, помимо России и стран СНГ, являются страны Латинской Америки, Европы и Азии. </w:t>
      </w:r>
    </w:p>
    <w:p w14:paraId="35B20CF3" w14:textId="77777777" w:rsidR="00F35F64" w:rsidRDefault="00B8671C">
      <w:pPr>
        <w:spacing w:before="60" w:after="60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i/>
          <w:iCs/>
          <w:sz w:val="18"/>
          <w:szCs w:val="18"/>
          <w:lang w:val="ru-RU"/>
        </w:rPr>
        <w:t>Акции компании торгуются на Московской бирже, а глобальные депозитарные расписки (ГДР) на них – на Лондонской фондовой бирже (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тикер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на Московской и Лондонской фондовых биржах PHOR). ГДР на акции Компании с 1 июня 2016 г. включены в индексы MSCI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Russia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и MSCI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Emerging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Markets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>.</w:t>
      </w:r>
    </w:p>
    <w:p w14:paraId="0AA79B79" w14:textId="77777777" w:rsidR="00F35F64" w:rsidRDefault="00B8671C">
      <w:pPr>
        <w:shd w:val="clear" w:color="auto" w:fill="FFFFFF"/>
        <w:ind w:firstLine="709"/>
        <w:jc w:val="both"/>
        <w:rPr>
          <w:rStyle w:val="Hyperlink0"/>
          <w:rFonts w:eastAsia="Calibri"/>
        </w:rPr>
      </w:pPr>
      <w:r>
        <w:rPr>
          <w:rFonts w:ascii="Times New Roman" w:hAnsi="Times New Roman"/>
          <w:i/>
          <w:iCs/>
          <w:sz w:val="18"/>
          <w:szCs w:val="18"/>
          <w:lang w:val="ru-RU"/>
        </w:rPr>
        <w:t>Более подробная информация о ПАО «ФосАгро</w:t>
      </w:r>
      <w:r w:rsidR="00054866">
        <w:rPr>
          <w:rFonts w:ascii="Times New Roman" w:hAnsi="Times New Roman"/>
          <w:i/>
          <w:iCs/>
          <w:sz w:val="18"/>
          <w:szCs w:val="18"/>
          <w:lang w:val="ru-RU"/>
        </w:rPr>
        <w:t>»</w:t>
      </w:r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находится на сайте: </w:t>
      </w:r>
      <w:hyperlink r:id="rId11" w:history="1">
        <w:r>
          <w:rPr>
            <w:rStyle w:val="Hyperlink0"/>
            <w:rFonts w:eastAsia="Calibri"/>
          </w:rPr>
          <w:t>www.phosagro.ru</w:t>
        </w:r>
      </w:hyperlink>
    </w:p>
    <w:p w14:paraId="5B043896" w14:textId="77777777" w:rsidR="00F35F64" w:rsidRDefault="00F35F64">
      <w:pPr>
        <w:shd w:val="clear" w:color="auto" w:fill="FFFFFF"/>
        <w:ind w:firstLine="709"/>
        <w:jc w:val="both"/>
        <w:rPr>
          <w:rStyle w:val="a6"/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</w:p>
    <w:p w14:paraId="4BFBC535" w14:textId="77777777" w:rsidR="00F35F64" w:rsidRPr="00B8671C" w:rsidRDefault="00F35F64">
      <w:pPr>
        <w:spacing w:after="200" w:line="276" w:lineRule="auto"/>
        <w:jc w:val="both"/>
        <w:rPr>
          <w:lang w:val="ru-RU"/>
        </w:rPr>
      </w:pPr>
    </w:p>
    <w:sectPr w:rsidR="00F35F64" w:rsidRPr="00B8671C">
      <w:footerReference w:type="default" r:id="rId12"/>
      <w:pgSz w:w="11900" w:h="16840"/>
      <w:pgMar w:top="851" w:right="850" w:bottom="993" w:left="1134" w:header="6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ADC85" w14:textId="77777777" w:rsidR="007D0E37" w:rsidRDefault="007D0E37">
      <w:r>
        <w:separator/>
      </w:r>
    </w:p>
  </w:endnote>
  <w:endnote w:type="continuationSeparator" w:id="0">
    <w:p w14:paraId="0270918C" w14:textId="77777777" w:rsidR="007D0E37" w:rsidRDefault="007D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36373" w14:textId="77777777" w:rsidR="00F35F64" w:rsidRDefault="00B8671C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B84E0" w14:textId="77777777" w:rsidR="007D0E37" w:rsidRDefault="007D0E37">
      <w:r>
        <w:separator/>
      </w:r>
    </w:p>
  </w:footnote>
  <w:footnote w:type="continuationSeparator" w:id="0">
    <w:p w14:paraId="64C4F1E4" w14:textId="77777777" w:rsidR="007D0E37" w:rsidRDefault="007D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64"/>
    <w:rsid w:val="00026491"/>
    <w:rsid w:val="00054866"/>
    <w:rsid w:val="00196146"/>
    <w:rsid w:val="002330B1"/>
    <w:rsid w:val="00260B5D"/>
    <w:rsid w:val="0028450F"/>
    <w:rsid w:val="002F2A9B"/>
    <w:rsid w:val="00384319"/>
    <w:rsid w:val="003A613C"/>
    <w:rsid w:val="003B2C01"/>
    <w:rsid w:val="003C2513"/>
    <w:rsid w:val="004E4BEA"/>
    <w:rsid w:val="005F7C12"/>
    <w:rsid w:val="00786773"/>
    <w:rsid w:val="007D0E37"/>
    <w:rsid w:val="008028CC"/>
    <w:rsid w:val="009F589D"/>
    <w:rsid w:val="00B51445"/>
    <w:rsid w:val="00B73716"/>
    <w:rsid w:val="00B8671C"/>
    <w:rsid w:val="00B969D3"/>
    <w:rsid w:val="00C33D26"/>
    <w:rsid w:val="00C72499"/>
    <w:rsid w:val="00E76E31"/>
    <w:rsid w:val="00E95B4A"/>
    <w:rsid w:val="00EA03B8"/>
    <w:rsid w:val="00F35F64"/>
    <w:rsid w:val="00F37D5F"/>
    <w:rsid w:val="00FD4142"/>
    <w:rsid w:val="00FD4901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C8EC"/>
  <w15:docId w15:val="{DE99AC48-9029-4397-95A9-9EAFB692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320"/>
        <w:tab w:val="right" w:pos="864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a6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i/>
      <w:iCs/>
      <w:outline w:val="0"/>
      <w:color w:val="0563C1"/>
      <w:sz w:val="18"/>
      <w:szCs w:val="18"/>
      <w:u w:val="single" w:color="0563C1"/>
      <w:lang w:val="ru-RU"/>
    </w:rPr>
  </w:style>
  <w:style w:type="paragraph" w:customStyle="1" w:styleId="Default">
    <w:name w:val="Default"/>
    <w:rsid w:val="00C33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7D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D5F"/>
    <w:rPr>
      <w:rFonts w:ascii="Segoe UI" w:eastAsia="Calibr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osagr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hosagro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D41D6ABD2BF44A8577E7E70977C24" ma:contentTypeVersion="11" ma:contentTypeDescription="Create a new document." ma:contentTypeScope="" ma:versionID="09b4ec854fb18ebb187bcb265fc733bc">
  <xsd:schema xmlns:xsd="http://www.w3.org/2001/XMLSchema" xmlns:xs="http://www.w3.org/2001/XMLSchema" xmlns:p="http://schemas.microsoft.com/office/2006/metadata/properties" xmlns:ns2="52c25619-dce8-4858-8ca8-4517a0de4051" targetNamespace="http://schemas.microsoft.com/office/2006/metadata/properties" ma:root="true" ma:fieldsID="985f489fed21282f91b55fbab3ae18ec" ns2:_="">
    <xsd:import namespace="52c25619-dce8-4858-8ca8-4517a0de4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5619-dce8-4858-8ca8-4517a0de4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2DE70-905A-47FC-B59B-510CE8EFDB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52c25619-dce8-4858-8ca8-4517a0de405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D39019-8A58-40B6-8B56-9E26BEEBA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A54CE-960D-4A7C-829B-90C8BDD2B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25619-dce8-4858-8ca8-4517a0de4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Кузеванов Иван Сергеевич</dc:creator>
  <cp:lastModifiedBy>Шниткова Ирина Борисовна</cp:lastModifiedBy>
  <cp:revision>2</cp:revision>
  <dcterms:created xsi:type="dcterms:W3CDTF">2021-09-15T07:49:00Z</dcterms:created>
  <dcterms:modified xsi:type="dcterms:W3CDTF">2021-09-15T07:49:00Z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0x0101009D3D41D6ABD2BF44A8577E7E70977C24</vt:lpwstr>
  </property>
</Properties>
</file>