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C" w:rsidRPr="00FF4002" w:rsidRDefault="00BA079C" w:rsidP="00FF4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4152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bookmarkStart w:id="0" w:name="_GoBack"/>
      <w:bookmarkEnd w:id="0"/>
    </w:p>
    <w:p w:rsidR="00BA079C" w:rsidRPr="00FF4002" w:rsidRDefault="00BA079C" w:rsidP="00FF4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4152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4152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4152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F40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BA079C" w:rsidRPr="00FF4002" w:rsidRDefault="00BA079C" w:rsidP="00FF4002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00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решением совета директоров </w:t>
      </w:r>
    </w:p>
    <w:p w:rsidR="00BA079C" w:rsidRPr="00FF4002" w:rsidRDefault="00BA079C" w:rsidP="00FF4002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00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ОАО «ФосАгро» </w:t>
      </w:r>
      <w:r w:rsidR="002C462C">
        <w:rPr>
          <w:rFonts w:ascii="Times New Roman" w:hAnsi="Times New Roman"/>
          <w:bCs/>
          <w:color w:val="000000"/>
          <w:sz w:val="24"/>
          <w:szCs w:val="24"/>
          <w:lang w:eastAsia="ru-RU"/>
        </w:rPr>
        <w:t>18</w:t>
      </w:r>
      <w:r w:rsidRPr="00FF400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ноября  2014 года 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FF4002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gramStart"/>
      <w:r w:rsidRPr="00FF4002">
        <w:rPr>
          <w:rFonts w:ascii="Times New Roman" w:hAnsi="Times New Roman"/>
          <w:bCs/>
          <w:sz w:val="24"/>
          <w:szCs w:val="24"/>
          <w:lang w:eastAsia="ru-RU"/>
        </w:rPr>
        <w:t>Протокол № б</w:t>
      </w:r>
      <w:proofErr w:type="gramEnd"/>
      <w:r w:rsidRPr="00FF4002">
        <w:rPr>
          <w:rFonts w:ascii="Times New Roman" w:hAnsi="Times New Roman"/>
          <w:bCs/>
          <w:sz w:val="24"/>
          <w:szCs w:val="24"/>
          <w:lang w:eastAsia="ru-RU"/>
        </w:rPr>
        <w:t xml:space="preserve">/н от </w:t>
      </w:r>
      <w:r w:rsidR="002C462C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FF4002">
        <w:rPr>
          <w:rFonts w:ascii="Times New Roman" w:hAnsi="Times New Roman"/>
          <w:bCs/>
          <w:sz w:val="24"/>
          <w:szCs w:val="20"/>
          <w:lang w:eastAsia="ru-RU"/>
        </w:rPr>
        <w:t xml:space="preserve"> ноября</w:t>
      </w:r>
      <w:r w:rsidRPr="00FF4002">
        <w:rPr>
          <w:rFonts w:ascii="Times New Roman" w:hAnsi="Times New Roman"/>
          <w:bCs/>
          <w:sz w:val="24"/>
          <w:szCs w:val="24"/>
          <w:lang w:eastAsia="ru-RU"/>
        </w:rPr>
        <w:t xml:space="preserve"> 2014 года)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32"/>
          <w:szCs w:val="20"/>
          <w:lang w:eastAsia="ru-RU"/>
        </w:rPr>
      </w:pPr>
      <w:r w:rsidRPr="00FF4002">
        <w:rPr>
          <w:rFonts w:ascii="Times New Roman CYR" w:hAnsi="Times New Roman CYR"/>
          <w:b/>
          <w:sz w:val="32"/>
          <w:szCs w:val="20"/>
          <w:lang w:eastAsia="ru-RU"/>
        </w:rPr>
        <w:t>ПОЛОЖЕНИЕ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32"/>
          <w:szCs w:val="20"/>
          <w:lang w:eastAsia="ru-RU"/>
        </w:rPr>
      </w:pPr>
      <w:r w:rsidRPr="00FF4002">
        <w:rPr>
          <w:rFonts w:ascii="Times New Roman CYR" w:hAnsi="Times New Roman CYR"/>
          <w:b/>
          <w:sz w:val="32"/>
          <w:szCs w:val="20"/>
          <w:lang w:eastAsia="ru-RU"/>
        </w:rPr>
        <w:t>О КОМИТЕТЕ ПО УПРАВЛЕНИЮ РИСКАМИ</w:t>
      </w:r>
    </w:p>
    <w:p w:rsidR="00BA079C" w:rsidRPr="00FF4002" w:rsidRDefault="00BA079C" w:rsidP="00FF40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hAnsi="Times New Roman CYR"/>
          <w:b/>
          <w:sz w:val="32"/>
          <w:szCs w:val="20"/>
          <w:lang w:eastAsia="ru-RU"/>
        </w:rPr>
      </w:pPr>
      <w:r w:rsidRPr="00FF4002">
        <w:rPr>
          <w:rFonts w:ascii="Times New Roman CYR" w:hAnsi="Times New Roman CYR"/>
          <w:b/>
          <w:sz w:val="32"/>
          <w:szCs w:val="20"/>
          <w:lang w:eastAsia="ru-RU"/>
        </w:rPr>
        <w:t>СОВЕТА ДИРЕКТОРОВ ОАО «ФосАгро»</w:t>
      </w:r>
    </w:p>
    <w:p w:rsidR="00BA079C" w:rsidRPr="00FF4002" w:rsidRDefault="00BA079C" w:rsidP="00FF40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 CYR" w:hAnsi="Times New Roman CYR"/>
          <w:b/>
          <w:sz w:val="32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32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t>г. Москва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t>2014 год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br w:type="page"/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t>СОДЕРЖАНИЕ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fldChar w:fldCharType="begin"/>
      </w:r>
      <w:r w:rsidRPr="00FF4002">
        <w:rPr>
          <w:rFonts w:ascii="Times New Roman CYR" w:hAnsi="Times New Roman CYR"/>
          <w:b/>
          <w:sz w:val="24"/>
          <w:szCs w:val="20"/>
          <w:lang w:eastAsia="ru-RU"/>
        </w:rPr>
        <w:instrText xml:space="preserve"> TOC \o "1-2" \u </w:instrText>
      </w:r>
      <w:r w:rsidRPr="00FF4002">
        <w:rPr>
          <w:rFonts w:ascii="Times New Roman CYR" w:hAnsi="Times New Roman CYR"/>
          <w:b/>
          <w:sz w:val="24"/>
          <w:szCs w:val="20"/>
          <w:lang w:eastAsia="ru-RU"/>
        </w:rPr>
        <w:fldChar w:fldCharType="separate"/>
      </w: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1. Общие положения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_Toc400706000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3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2. Цель создания и функции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_Toc400706001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3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3. Состав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_Toc400706002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4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4. Формирование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_Toc400706003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4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5. Заседания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_Toc400706004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5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6. Права и обязанности членов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_Toc400706005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7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7. Вознаграждение членов Комитета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_Toc400706006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7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8. Взаимодействие Комитета с органами Общества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_Toc400706007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7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widowControl w:val="0"/>
        <w:tabs>
          <w:tab w:val="right" w:leader="dot" w:pos="967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eastAsia="ru-RU"/>
        </w:rPr>
      </w:pPr>
      <w:r w:rsidRPr="00FF4002">
        <w:rPr>
          <w:rFonts w:ascii="Times New Roman CYR" w:hAnsi="Times New Roman CYR"/>
          <w:b/>
          <w:noProof/>
          <w:sz w:val="24"/>
          <w:szCs w:val="20"/>
          <w:lang w:eastAsia="ru-RU"/>
        </w:rPr>
        <w:t>9. Заключительные положения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tab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begin"/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instrText xml:space="preserve"> PAGEREF _Toc400706008 \h </w:instrTex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separate"/>
      </w:r>
      <w:r w:rsidR="00966B90">
        <w:rPr>
          <w:rFonts w:ascii="Times New Roman" w:hAnsi="Times New Roman"/>
          <w:noProof/>
          <w:sz w:val="24"/>
          <w:szCs w:val="20"/>
          <w:lang w:eastAsia="ru-RU"/>
        </w:rPr>
        <w:t>8</w:t>
      </w:r>
      <w:r w:rsidRPr="00FF4002">
        <w:rPr>
          <w:rFonts w:ascii="Times New Roman" w:hAnsi="Times New Roman"/>
          <w:noProof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fldChar w:fldCharType="end"/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r w:rsidRPr="00FF4002">
        <w:rPr>
          <w:rFonts w:ascii="Times New Roman CYR" w:hAnsi="Times New Roman CYR"/>
          <w:b/>
          <w:sz w:val="24"/>
          <w:szCs w:val="20"/>
          <w:lang w:eastAsia="ru-RU"/>
        </w:rPr>
        <w:br w:type="page"/>
      </w:r>
      <w:bookmarkStart w:id="1" w:name="_Toc400706000"/>
      <w:r w:rsidRPr="00FF4002">
        <w:rPr>
          <w:rFonts w:ascii="Times New Roman CYR" w:hAnsi="Times New Roman CYR"/>
          <w:b/>
          <w:sz w:val="24"/>
          <w:szCs w:val="20"/>
          <w:lang w:eastAsia="ru-RU"/>
        </w:rPr>
        <w:lastRenderedPageBreak/>
        <w:t>1. Общие положения</w:t>
      </w:r>
      <w:bookmarkEnd w:id="1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1.1. Настоящее Положение о Комитете по управлению рисками (далее - Положение) регламентирует деятельность Комитета по управлению рисками совета директоров ОАО «ФосАгро» (далее - Комитет) и регулирует вопросы его  состава, порядка формирования и взаимодействия.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1.2. Комитет является подразделением совета директоров ОАО «ФосАгро» (далее – Совет директоров), создаваемым для предварительного рассмотрения вопросов, отнесенных Уставом ОАО «ФосАгро» (далее – Общество или Компания) к компетенции Совета директоров. Комитет не является органом Общества, через Комитет Общество не принимает на себя гражданские права и обязанности.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0"/>
          <w:lang w:eastAsia="ru-RU"/>
        </w:rPr>
        <w:t xml:space="preserve">1.3. В своей деятельности Комитет руководствуется действующим законодательством Российской Федерации, Уставом Общества, Положением о совете директоров Общества и настоящим Положением. </w:t>
      </w:r>
      <w:proofErr w:type="gramStart"/>
      <w:r w:rsidRPr="00FF4002">
        <w:rPr>
          <w:rFonts w:ascii="Times New Roman" w:hAnsi="Times New Roman"/>
          <w:sz w:val="24"/>
          <w:szCs w:val="20"/>
          <w:lang w:eastAsia="ru-RU"/>
        </w:rPr>
        <w:t xml:space="preserve">Вопросы деятельности Комитета, не урегулированные настоящим Положением и иными обязательными для Общества нормативными актами, решаются в соответствии с рекомендациями Кодекса корпоративного управления, одобренного Правительством Российской Федерации </w:t>
      </w:r>
      <w:r w:rsidRPr="006B56CB">
        <w:rPr>
          <w:rFonts w:ascii="Times New Roman" w:hAnsi="Times New Roman"/>
          <w:sz w:val="24"/>
          <w:szCs w:val="20"/>
          <w:lang w:eastAsia="ru-RU"/>
        </w:rPr>
        <w:t>13 февраля 2014 года и рекомендован к применению акционерными обществами Банком России в Письме от 10.04.2014г. №06-52/2463 «О Кодексе корпоративного управления»).</w:t>
      </w:r>
      <w:proofErr w:type="gramEnd"/>
      <w:r w:rsidRPr="006B56CB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6B56CB">
        <w:rPr>
          <w:rFonts w:ascii="Times New Roman" w:hAnsi="Times New Roman"/>
          <w:sz w:val="24"/>
          <w:szCs w:val="24"/>
          <w:lang w:eastAsia="ru-RU"/>
        </w:rPr>
        <w:t>Также при осуществлении своей деятельности Комитет вправе применять рекомендации международных институтов по вопросам управления рисками.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1.4. </w:t>
      </w:r>
      <w:proofErr w:type="gramStart"/>
      <w:r w:rsidRPr="00FF4002">
        <w:rPr>
          <w:rFonts w:ascii="Times New Roman CYR" w:hAnsi="Times New Roman CYR"/>
          <w:sz w:val="24"/>
          <w:szCs w:val="20"/>
          <w:lang w:eastAsia="ru-RU"/>
        </w:rPr>
        <w:t>В целях настоящего Положения все ссылки на Общество являются ссылками на ОАО «ФосАгро», все ссылки на Устав и Положение о совете директоров Общества являются ссылками на действующую редакцию Устава ОАО «ФосАгро» и действующую редакцию Положения о совете директоров ОАО «ФосАгро» со всеми изменениями и дополнениями, все ссылки на совет директоров являются ссылками на совет директоров ОАО «ФосАгро», все ссылки на</w:t>
      </w:r>
      <w:proofErr w:type="gramEnd"/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внутренние документы Общества являются ссылками </w:t>
      </w:r>
      <w:proofErr w:type="gramStart"/>
      <w:r w:rsidRPr="00FF4002">
        <w:rPr>
          <w:rFonts w:ascii="Times New Roman CYR" w:hAnsi="Times New Roman CYR"/>
          <w:sz w:val="24"/>
          <w:szCs w:val="20"/>
          <w:lang w:eastAsia="ru-RU"/>
        </w:rPr>
        <w:t>на</w:t>
      </w:r>
      <w:proofErr w:type="gramEnd"/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</w:t>
      </w:r>
      <w:proofErr w:type="gramStart"/>
      <w:r w:rsidRPr="00FF4002">
        <w:rPr>
          <w:rFonts w:ascii="Times New Roman CYR" w:hAnsi="Times New Roman CYR"/>
          <w:sz w:val="24"/>
          <w:szCs w:val="20"/>
          <w:lang w:eastAsia="ru-RU"/>
        </w:rPr>
        <w:t>должным</w:t>
      </w:r>
      <w:proofErr w:type="gramEnd"/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образом принятые и действующие внутренние документы, обязательные к исполнению в ОАО «ФосАгро».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2" w:name="_Toc400706001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2. Цель создания и функции Комитета</w:t>
      </w:r>
      <w:bookmarkEnd w:id="2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2.1. Целью создания и деятельности Комитета является выработка рекомендаций и предложений Совету директоров и другим органам Общества в области идентификации значимых рисков Компании, разработки мер управления значимыми рисками, а также совершенствования и развития системы управления рисками.</w:t>
      </w:r>
    </w:p>
    <w:p w:rsidR="00BA079C" w:rsidRPr="00FF4002" w:rsidRDefault="00BA079C" w:rsidP="00FF4002">
      <w:pPr>
        <w:autoSpaceDE w:val="0"/>
        <w:autoSpaceDN w:val="0"/>
        <w:adjustRightInd w:val="0"/>
        <w:spacing w:after="120" w:line="240" w:lineRule="auto"/>
        <w:ind w:left="5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2.2. Для реализации цели Комитет осуществляет следующие функции:</w:t>
      </w:r>
    </w:p>
    <w:p w:rsidR="00BA079C" w:rsidRPr="00FF4002" w:rsidRDefault="00BA079C" w:rsidP="00FF4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2.2.1. Оценивает эффективность организации системы управления рисками в Обществе и готовит реком</w:t>
      </w:r>
      <w:r>
        <w:rPr>
          <w:rFonts w:ascii="Times New Roman" w:hAnsi="Times New Roman"/>
          <w:sz w:val="24"/>
          <w:szCs w:val="24"/>
          <w:lang w:eastAsia="ru-RU"/>
        </w:rPr>
        <w:t>ендации по ее совершенствованию</w:t>
      </w:r>
      <w:r w:rsidRPr="00FF4002">
        <w:rPr>
          <w:rFonts w:ascii="Times New Roman" w:hAnsi="Times New Roman"/>
          <w:sz w:val="24"/>
          <w:szCs w:val="24"/>
          <w:lang w:eastAsia="ru-RU"/>
        </w:rPr>
        <w:t>.</w:t>
      </w:r>
    </w:p>
    <w:p w:rsidR="00BA079C" w:rsidRPr="00FF4002" w:rsidRDefault="00BA079C" w:rsidP="00FF4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2.2.2. Готовит предложения Совету директоров Общества:</w:t>
      </w:r>
    </w:p>
    <w:p w:rsidR="00BA079C" w:rsidRPr="00FF4002" w:rsidRDefault="00BA079C" w:rsidP="00FF400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 xml:space="preserve"> - по методологии управления рисками, определению наиболее значимых рисков Компании для постоянного мониторинга и управления, а также рекомендации по совершенствованию комплек</w:t>
      </w:r>
      <w:r>
        <w:rPr>
          <w:rFonts w:ascii="Times New Roman" w:hAnsi="Times New Roman"/>
          <w:sz w:val="24"/>
          <w:szCs w:val="24"/>
          <w:lang w:eastAsia="ru-RU"/>
        </w:rPr>
        <w:t>сной системы управления рисками;</w:t>
      </w:r>
    </w:p>
    <w:p w:rsidR="00BA079C" w:rsidRPr="00FF4002" w:rsidRDefault="00BA079C" w:rsidP="00FF400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- по обоснованию риск – аппетита и определени</w:t>
      </w:r>
      <w:r>
        <w:rPr>
          <w:rFonts w:ascii="Times New Roman" w:hAnsi="Times New Roman"/>
          <w:sz w:val="24"/>
          <w:szCs w:val="24"/>
          <w:lang w:eastAsia="ru-RU"/>
        </w:rPr>
        <w:t>ю уровня толерантности к рискам;</w:t>
      </w:r>
    </w:p>
    <w:p w:rsidR="00BA079C" w:rsidRPr="00FF4002" w:rsidRDefault="00BA079C" w:rsidP="00FF400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lastRenderedPageBreak/>
        <w:t>- по внесению изменений и дополнений в Политику по управлению рисками ОАО «ФосАгро».</w:t>
      </w:r>
    </w:p>
    <w:p w:rsidR="00BA079C" w:rsidRPr="00FF4002" w:rsidRDefault="00BA079C" w:rsidP="00FF4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 xml:space="preserve">2.2.3. Взаимодействует со службой по управлению рисками </w:t>
      </w:r>
      <w:r>
        <w:rPr>
          <w:rFonts w:ascii="Times New Roman" w:hAnsi="Times New Roman"/>
          <w:sz w:val="24"/>
          <w:szCs w:val="24"/>
          <w:lang w:eastAsia="ru-RU"/>
        </w:rPr>
        <w:t>Общества</w:t>
      </w:r>
      <w:r w:rsidRPr="00FF4002">
        <w:rPr>
          <w:rFonts w:ascii="Times New Roman" w:hAnsi="Times New Roman"/>
          <w:sz w:val="24"/>
          <w:szCs w:val="24"/>
          <w:lang w:eastAsia="ru-RU"/>
        </w:rPr>
        <w:t xml:space="preserve"> и рабочим органом по рискам при Правлении или Генеральном директоре.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2.2.4. Взаимодействует с менеджментом Общества.</w:t>
      </w:r>
    </w:p>
    <w:p w:rsidR="00BA079C" w:rsidRPr="00FF4002" w:rsidRDefault="00BA079C" w:rsidP="00FF400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2.2.5. Взаимодействует с иными заинтересованными лицами.</w:t>
      </w:r>
    </w:p>
    <w:p w:rsidR="00BA079C" w:rsidRPr="00FF4002" w:rsidRDefault="00BA079C" w:rsidP="00FF400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 xml:space="preserve">2.2.6. По решению Совета директоров на рассмотрение Комитета могут быть вынесены и другие вопросы, относящиеся к направлениям его деятельности. </w:t>
      </w:r>
    </w:p>
    <w:p w:rsidR="00BA079C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3" w:name="_Toc400706002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3. Состав Комитета</w:t>
      </w:r>
      <w:bookmarkEnd w:id="3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3.1. Количественный состав Комитета определяется решением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3.2. Для руководства деятельностью Комитета Советом директоров избирается Председатель Комитета. Главной задачей Председателя Комитета является обеспечение объективности при выработке Комитетом рекомендаций.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3.3. Председатель Комитета не может быть избран председателем другого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3.4. Любой член Комитета (в том числе и председатель Совета директоров) не может быть избран в состав более трех  Комитетов Общества.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3.5. К работе в Комитете могут привлекаться в качестве экспертов и консультантов лица, не являющиеся членами Комитета и обладающие необходимыми профессиональными знаниями.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Председатель и любой член Комитета вправе требовать привлечения в качестве эксперта или консультанта специалиста (организации) от имени Комитета, в рамках бюджета Общества по вопросам, носящим публичный (не конфиденциальный) характер. Не допускается личная заинтересованность в привлечении в качестве эксперта или консультанта того или иного специалиста (организации).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3.6. На заседания Комитета могут приглашаться генеральный директор Общества, члены совета директоров, не являющиеся членами Комитета, корпоративный секретарь, иные должностные лица и работники Общества, а также консультанты и эксперты.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3.7. </w:t>
      </w:r>
      <w:r w:rsidRPr="00FF4002">
        <w:rPr>
          <w:rFonts w:ascii="Times New Roman" w:hAnsi="Times New Roman"/>
          <w:sz w:val="24"/>
          <w:szCs w:val="20"/>
          <w:lang w:eastAsia="ru-RU"/>
        </w:rPr>
        <w:t>Для организационного обеспечения работы Комитета решением Комитета назначается секретарь Комитета.</w:t>
      </w:r>
    </w:p>
    <w:p w:rsidR="00BA079C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4" w:name="_Toc400706003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4. Формирование Комитета</w:t>
      </w:r>
      <w:bookmarkEnd w:id="4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4.1. Решение о количественном</w:t>
      </w:r>
      <w:r w:rsidR="002C462C">
        <w:rPr>
          <w:rFonts w:ascii="Times New Roman CYR" w:hAnsi="Times New Roman CYR"/>
          <w:sz w:val="24"/>
          <w:szCs w:val="20"/>
          <w:lang w:eastAsia="ru-RU"/>
        </w:rPr>
        <w:t xml:space="preserve"> и</w:t>
      </w: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персональном составе </w:t>
      </w:r>
      <w:r w:rsidR="002C462C" w:rsidRPr="00FF4002">
        <w:rPr>
          <w:rFonts w:ascii="Times New Roman CYR" w:hAnsi="Times New Roman CYR"/>
          <w:sz w:val="24"/>
          <w:szCs w:val="20"/>
          <w:lang w:eastAsia="ru-RU"/>
        </w:rPr>
        <w:t>Комитета</w:t>
      </w:r>
      <w:r w:rsidR="002C462C">
        <w:rPr>
          <w:rFonts w:ascii="Times New Roman CYR" w:hAnsi="Times New Roman CYR"/>
          <w:sz w:val="24"/>
          <w:szCs w:val="20"/>
          <w:lang w:eastAsia="ru-RU"/>
        </w:rPr>
        <w:t>, об</w:t>
      </w: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избрании Председателя Комитета принимается Советом директоров после избрания нового состава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lastRenderedPageBreak/>
        <w:t>Количественный состав Комитета определяется Советом директоров таким образом, чтобы он позволял проводить всестороннее обсуждение рассматриваемых вопросов с учётом различных мнений.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При принятии Советом директоров решения о создании Комитета до сведения членов Совета директоров должна быть доведена информация о работе Комитетов прежнего состава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Изменения в составе Комитета могут быть произведены советом директоров в любое время по предложению любого из членов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4.2. При избрании Председателя и членов Комитета должны учитываться их согласие работать в составе комитета, образование, профессиональная подготовка, опыт работы в направлении деятельности Комитета, опыт и иные специальные знания, необходимые для осуществления членами Комитета своих полномочий.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5" w:name="_Toc400706004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5. Заседания Комитета</w:t>
      </w:r>
      <w:bookmarkEnd w:id="5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5.1. Заседания Комитета проводятся в соответствии с утвержденным на заседании Комитета планом работы, а также по мере необходимости.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План работы Комитета формируется на основе утвержденного плана работы Совета директоров и является приложением к плану работы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5.2. Повестку дня заседания определяет Председатель Комитета. При этом любой член Комитета имеет право инициировать включение в повестку дня дополнительного вопроса, относящегося к функциям Комитета. По взаимному согласию членов Комитета повестка может быть изменена и дополнена. При необходимости, Комитет может отказаться от обсуждения вопросов, определенных повесткой текущего заседания, в пользу иных, наиболее приоритетных, по мнению членов Комитета, вопросов.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Члены совета директоров, не являющиеся членами Комитета, генеральный директор, корпоративный секретарь Общества, а также привлеченные для работы в Комитете эксперты и консультанты, могут </w:t>
      </w:r>
      <w:proofErr w:type="gramStart"/>
      <w:r w:rsidRPr="00FF4002">
        <w:rPr>
          <w:rFonts w:ascii="Times New Roman CYR" w:hAnsi="Times New Roman CYR"/>
          <w:sz w:val="24"/>
          <w:szCs w:val="20"/>
          <w:lang w:eastAsia="ru-RU"/>
        </w:rPr>
        <w:t>обращаться к Председателю Комитета с предложением рассмотреть</w:t>
      </w:r>
      <w:proofErr w:type="gramEnd"/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 любой вопрос, относящийся к функциям Комитета. Такой вопрос может быть рассмотрен либо на ближайшем запланированном рабочем заседании Комитета, либо, если вопрос имеет особое значение и его рассмотрение не терпит отлагательства, на специально созванном заседании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i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5.3. Заседание созывается Председателем Комитета по его собственной инициативе или по требованию члена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5.4. Оповещение о проведении заседания Комитета, а также направление необходимых материалов членам Комитета, производится в разумный и достаточный срок до начала заседания, способом, согласованным членами Комитета, как правило, не менее чем за 3 (три) рабочих дня. Председатель Комитета предпринимает необходимые действия, чтобы </w:t>
      </w:r>
      <w:r w:rsidRPr="00FF4002">
        <w:rPr>
          <w:rFonts w:ascii="Times New Roman CYR" w:hAnsi="Times New Roman CYR"/>
          <w:sz w:val="24"/>
          <w:szCs w:val="20"/>
          <w:lang w:eastAsia="ru-RU"/>
        </w:rPr>
        <w:lastRenderedPageBreak/>
        <w:t>убедиться в том, что оповещение было произведено должным образом и в надлежащие сроки. Приглашение на заседание Комитета генерального директора Общества, членов ревизионной комиссии (ревизора) Общества, иных должностных лиц и работников Общества, а также привлечение для работы в заседании экспертов и консультантов проходит в порядке, дающем  приглашенным возможность надлежащим образом подготовиться к заседанию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 xml:space="preserve">5.5. Заседания Комитета проводятся либо в форме совместного присутствия, либо путем письменного опроса членов Комитета. </w:t>
      </w:r>
      <w:r w:rsidRPr="00FF4002">
        <w:rPr>
          <w:rFonts w:ascii="Times New Roman" w:hAnsi="Times New Roman"/>
          <w:sz w:val="24"/>
          <w:szCs w:val="20"/>
          <w:lang w:eastAsia="ru-RU"/>
        </w:rPr>
        <w:t xml:space="preserve">Допускается проведение заседаний в режиме телеконференций, с использованием </w:t>
      </w:r>
      <w:proofErr w:type="spellStart"/>
      <w:r w:rsidRPr="00FF4002">
        <w:rPr>
          <w:rFonts w:ascii="Times New Roman" w:hAnsi="Times New Roman"/>
          <w:sz w:val="24"/>
          <w:szCs w:val="20"/>
          <w:lang w:eastAsia="ru-RU"/>
        </w:rPr>
        <w:t>конференц</w:t>
      </w:r>
      <w:proofErr w:type="spellEnd"/>
      <w:r w:rsidRPr="00FF4002">
        <w:rPr>
          <w:rFonts w:ascii="Times New Roman" w:hAnsi="Times New Roman"/>
          <w:sz w:val="24"/>
          <w:szCs w:val="20"/>
          <w:lang w:eastAsia="ru-RU"/>
        </w:rPr>
        <w:t xml:space="preserve"> – звонка</w:t>
      </w:r>
      <w:r w:rsidRPr="00FF4002">
        <w:rPr>
          <w:rFonts w:ascii="Times New Roman CYR" w:hAnsi="Times New Roman CYR"/>
          <w:sz w:val="24"/>
          <w:szCs w:val="20"/>
          <w:lang w:eastAsia="ru-RU"/>
        </w:rPr>
        <w:t>. Лица, приглашенные для участия в заседании, в том числе члены Комитета, могут представить свои мнения по вопросам повестки в письменном виде.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5.6. Заседание считается правомочным (имеет кворум), когда в нем приняло участие (к началу заседания получены письменные мнения) большинство членов Комитета. Отсутствие кворума ведет к переносу заседания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5.7. Все решения Комитета принимаются большинством голосов членов Комитета, принимающих участие в заседании, при этом каждый член Комитета имеет один голос.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5.8. На заседании Комитета должна раскрываться любая информация о наличии личной заинтересованности члена Комитета в рассмотрении того или иного вопроса.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5.9. Комитет может уполномочить члена (</w:t>
      </w:r>
      <w:proofErr w:type="spellStart"/>
      <w:r w:rsidRPr="00FF4002">
        <w:rPr>
          <w:rFonts w:ascii="Times New Roman CYR" w:hAnsi="Times New Roman CYR"/>
          <w:sz w:val="24"/>
          <w:szCs w:val="20"/>
          <w:lang w:eastAsia="ru-RU"/>
        </w:rPr>
        <w:t>ов</w:t>
      </w:r>
      <w:proofErr w:type="spellEnd"/>
      <w:r w:rsidRPr="00FF4002">
        <w:rPr>
          <w:rFonts w:ascii="Times New Roman CYR" w:hAnsi="Times New Roman CYR"/>
          <w:sz w:val="24"/>
          <w:szCs w:val="20"/>
          <w:lang w:eastAsia="ru-RU"/>
        </w:rPr>
        <w:t>) Комитета подробно изучить определенный вопрос, относящийся к функциям Комитета, и проинформировать Комитет о полученных в ходе изучения результатах.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5.10. Заседание Комитета ведет Председатель. Протокол заседания ведет секретарь Комитета и подписывает Председатель Комитета. В ходе заседания заслушиваются и отражаются в протоколе (прилагаются к протоколу) мнения, представленные членами Комитета, и лицами, приглашенными на заседание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5.11. Протокол заседания Комитета составляется в двух экземплярах.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Один экземпляр протокола хранится у секретаря Комитета, который должен обеспечивать доступ к протоколам Комитета, а также материалам, рассмотренным на заседаниях Комитета, всем членам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Второй экземпляр протокола хранится у секретаря Совета директоров, который должен обеспечивать доступ к протоколам Комитета, а также материалам, рассмотренным на заседаниях Комитета, членам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5.12. По итогам заседания Комитета может оформляться рекомендация Комитета в адрес Совета директоров Общества (далее - Рекомендация). Рекомендация отражает общее мнение Комитета в целом. Если мнения членов Комитета не совпадают, то особые мнения должны быть указаны в Рекомендации отдельно.</w:t>
      </w:r>
    </w:p>
    <w:p w:rsidR="00BA079C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lastRenderedPageBreak/>
        <w:t>5.13. Рекомендация подписывается Председателем Комитета. К Рекомендации могут прилагаться материалы, рассмотренные на заседании Комитета. Председатель Комитета несет ответственность за своевременное и полное доведение Рекомендации до сведения членов Совета директоров. Рассмотренная на заседании Совета директоров Рекомендация может быть приложена к протоколам соответствующих заседаний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6" w:name="_Toc400706005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6. Права и обязанности членов Комитета</w:t>
      </w:r>
      <w:bookmarkEnd w:id="6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0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 Члены Комитета обязаны: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6.1.1 участвовать в работе Комитета;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6.1.2 всесторонне и полно изучать документы, представляемые к заседанию и на заседании Комитета;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6.1.3 незамедлительно информировать Комитет о наличии личной заинтересованности в принятии того или иного решения;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6.1.4 избегать действий, которые могут скомпрометировать Комитет или поставить под вопрос профессионализм его членов;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6.1.5 не разглашать конфиденциальную информацию, содержащуюся в любых документах и материалах Общества;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6.1.6 не использовать внутрикорпоративную информацию в целях личного обогащения и не передавать ее третьим лицам.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6.2. Члены Комитета имеют право: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6.2.1. запрашивать у Совета директоров, генерального директора, ревизионной комиссии (ревизора), аудитора Общества информацию и документы, касающиеся непосредственной деятельности Комитета;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6.2.2. участвовать во встречах с акционерами и представителями с целью обсуждения функций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7" w:name="_Toc400706006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7. Вознаграждение членов Комитета</w:t>
      </w:r>
      <w:bookmarkEnd w:id="7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7.1. Членам Комитета в период исполнения ими своих обязанностей могут выплачиваться вознаграждение и компенсироваться расходы, связанные с исполнением ими обязанностей членов Комитета за счет Общества.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7.2. Размер и порядок выплаты вознаграждения устанавливается решением Общего собрания акционеров Общества и/или внутренними документами Общества.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8" w:name="_Toc400706007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8. Взаимодействие Комитета с органами Общества</w:t>
      </w:r>
      <w:bookmarkEnd w:id="8"/>
    </w:p>
    <w:p w:rsidR="00BA079C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lastRenderedPageBreak/>
        <w:t>8.1. Секретарь Комитета обеспечивает техническое и процедурное взаимодействие Комитета с иными органами Общества.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8.2. Исполнительные органы Общества должны информировать Председателя Комитета в письменном виде обо всех значительных изменениях, касающихся вопросов, связанных с функциями Комитета в двухдневный срок с момента возникновения соответствующих обстоятельств.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8.3. Председатель Комитета должен представлять Совету директоров в порядке, установленном Советом директоров, отчет о работе Комитета.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 CYR" w:hAnsi="Times New Roman CYR"/>
          <w:b/>
          <w:sz w:val="24"/>
          <w:szCs w:val="20"/>
          <w:lang w:eastAsia="ru-RU"/>
        </w:rPr>
      </w:pPr>
      <w:bookmarkStart w:id="9" w:name="_Toc400706008"/>
      <w:r w:rsidRPr="00FF4002">
        <w:rPr>
          <w:rFonts w:ascii="Times New Roman CYR" w:hAnsi="Times New Roman CYR"/>
          <w:b/>
          <w:sz w:val="24"/>
          <w:szCs w:val="20"/>
          <w:lang w:eastAsia="ru-RU"/>
        </w:rPr>
        <w:t>9. Заключительные положения</w:t>
      </w:r>
      <w:bookmarkEnd w:id="9"/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b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 CYR" w:hAnsi="Times New Roman CYR"/>
          <w:sz w:val="24"/>
          <w:szCs w:val="20"/>
          <w:lang w:eastAsia="ru-RU"/>
        </w:rPr>
        <w:t>9.1. Настоящее Положение утверждается Советом директоров. Любые изменения и дополнения в настоящее Положение вносятся по решению Совета директоров.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/>
          <w:sz w:val="24"/>
          <w:szCs w:val="20"/>
          <w:lang w:eastAsia="ru-RU"/>
        </w:rPr>
      </w:pPr>
      <w:r w:rsidRPr="00FF4002">
        <w:rPr>
          <w:rFonts w:ascii="Times New Roman" w:hAnsi="Times New Roman"/>
          <w:sz w:val="24"/>
          <w:szCs w:val="24"/>
          <w:lang w:eastAsia="ru-RU"/>
        </w:rPr>
        <w:t>9.2. Настоящее Положение действует до утверждения Советом директоров новой редакции Положения.</w:t>
      </w:r>
    </w:p>
    <w:p w:rsidR="00BA079C" w:rsidRPr="00FF4002" w:rsidRDefault="00BA079C" w:rsidP="00FF40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BA079C" w:rsidRDefault="00BA079C"/>
    <w:sectPr w:rsidR="00BA079C" w:rsidSect="00FF4002">
      <w:footerReference w:type="even" r:id="rId7"/>
      <w:footerReference w:type="default" r:id="rId8"/>
      <w:pgSz w:w="12240" w:h="15840"/>
      <w:pgMar w:top="1418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9C" w:rsidRDefault="00BA079C">
      <w:pPr>
        <w:spacing w:after="0" w:line="240" w:lineRule="auto"/>
      </w:pPr>
      <w:r>
        <w:separator/>
      </w:r>
    </w:p>
  </w:endnote>
  <w:endnote w:type="continuationSeparator" w:id="0">
    <w:p w:rsidR="00BA079C" w:rsidRDefault="00BA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9C" w:rsidRDefault="00BA079C">
    <w:pPr>
      <w:pStyle w:val="a3"/>
      <w:framePr w:wrap="auto" w:vAnchor="text" w:hAnchor="margin" w:xAlign="right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end"/>
    </w:r>
  </w:p>
  <w:p w:rsidR="00BA079C" w:rsidRDefault="00BA079C">
    <w:pPr>
      <w:pStyle w:val="a3"/>
      <w:ind w:right="360"/>
      <w:rPr>
        <w:rFonts w:ascii="Times New Roman CYR" w:hAnsi="Times New Roman CY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9C" w:rsidRPr="003D488C" w:rsidRDefault="00BA079C">
    <w:pPr>
      <w:pStyle w:val="a3"/>
      <w:framePr w:wrap="auto" w:vAnchor="text" w:hAnchor="margin" w:xAlign="right" w:y="1"/>
      <w:rPr>
        <w:rStyle w:val="a5"/>
        <w:rFonts w:ascii="Times New Roman CYR" w:hAnsi="Times New Roman CYR"/>
      </w:rPr>
    </w:pPr>
    <w:r w:rsidRPr="003D488C">
      <w:rPr>
        <w:rStyle w:val="a5"/>
        <w:rFonts w:ascii="Times New Roman CYR" w:hAnsi="Times New Roman CYR"/>
      </w:rPr>
      <w:fldChar w:fldCharType="begin"/>
    </w:r>
    <w:r w:rsidRPr="003D488C">
      <w:rPr>
        <w:rStyle w:val="a5"/>
        <w:rFonts w:ascii="Times New Roman CYR" w:hAnsi="Times New Roman CYR"/>
      </w:rPr>
      <w:instrText xml:space="preserve">PAGE  </w:instrText>
    </w:r>
    <w:r w:rsidRPr="003D488C">
      <w:rPr>
        <w:rStyle w:val="a5"/>
        <w:rFonts w:ascii="Times New Roman CYR" w:hAnsi="Times New Roman CYR"/>
      </w:rPr>
      <w:fldChar w:fldCharType="separate"/>
    </w:r>
    <w:r w:rsidR="0048788A">
      <w:rPr>
        <w:rStyle w:val="a5"/>
        <w:rFonts w:ascii="Times New Roman CYR" w:hAnsi="Times New Roman CYR"/>
        <w:noProof/>
      </w:rPr>
      <w:t>8</w:t>
    </w:r>
    <w:r w:rsidRPr="003D488C">
      <w:rPr>
        <w:rStyle w:val="a5"/>
        <w:rFonts w:ascii="Times New Roman CYR" w:hAnsi="Times New Roman CYR"/>
      </w:rPr>
      <w:fldChar w:fldCharType="end"/>
    </w:r>
  </w:p>
  <w:p w:rsidR="00BA079C" w:rsidRDefault="00BA079C">
    <w:pPr>
      <w:pStyle w:val="a3"/>
      <w:ind w:right="360"/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9C" w:rsidRDefault="00BA079C">
      <w:pPr>
        <w:spacing w:after="0" w:line="240" w:lineRule="auto"/>
      </w:pPr>
      <w:r>
        <w:separator/>
      </w:r>
    </w:p>
  </w:footnote>
  <w:footnote w:type="continuationSeparator" w:id="0">
    <w:p w:rsidR="00BA079C" w:rsidRDefault="00BA0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2"/>
    <w:rsid w:val="000B29D5"/>
    <w:rsid w:val="001164C5"/>
    <w:rsid w:val="0021652E"/>
    <w:rsid w:val="00292158"/>
    <w:rsid w:val="002C462C"/>
    <w:rsid w:val="003D488C"/>
    <w:rsid w:val="0048788A"/>
    <w:rsid w:val="00491932"/>
    <w:rsid w:val="004A3A90"/>
    <w:rsid w:val="0067011D"/>
    <w:rsid w:val="006B56CB"/>
    <w:rsid w:val="006E6FB8"/>
    <w:rsid w:val="008C0B3E"/>
    <w:rsid w:val="00966B90"/>
    <w:rsid w:val="00BA079C"/>
    <w:rsid w:val="00F944D1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F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F4002"/>
    <w:rPr>
      <w:rFonts w:cs="Times New Roman"/>
    </w:rPr>
  </w:style>
  <w:style w:type="character" w:styleId="a5">
    <w:name w:val="page number"/>
    <w:basedOn w:val="a0"/>
    <w:uiPriority w:val="99"/>
    <w:rsid w:val="00FF4002"/>
    <w:rPr>
      <w:rFonts w:cs="Times New Roman"/>
      <w:sz w:val="20"/>
    </w:rPr>
  </w:style>
  <w:style w:type="paragraph" w:styleId="a6">
    <w:name w:val="header"/>
    <w:basedOn w:val="a"/>
    <w:link w:val="a7"/>
    <w:uiPriority w:val="99"/>
    <w:unhideWhenUsed/>
    <w:rsid w:val="00966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B9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F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F4002"/>
    <w:rPr>
      <w:rFonts w:cs="Times New Roman"/>
    </w:rPr>
  </w:style>
  <w:style w:type="character" w:styleId="a5">
    <w:name w:val="page number"/>
    <w:basedOn w:val="a0"/>
    <w:uiPriority w:val="99"/>
    <w:rsid w:val="00FF4002"/>
    <w:rPr>
      <w:rFonts w:cs="Times New Roman"/>
      <w:sz w:val="20"/>
    </w:rPr>
  </w:style>
  <w:style w:type="paragraph" w:styleId="a6">
    <w:name w:val="header"/>
    <w:basedOn w:val="a"/>
    <w:link w:val="a7"/>
    <w:uiPriority w:val="99"/>
    <w:unhideWhenUsed/>
    <w:rsid w:val="00966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B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Татьяна Борисовна</dc:creator>
  <cp:keywords/>
  <dc:description/>
  <cp:lastModifiedBy>Шевченко Татьяна Борисовна</cp:lastModifiedBy>
  <cp:revision>2</cp:revision>
  <dcterms:created xsi:type="dcterms:W3CDTF">2014-12-09T09:49:00Z</dcterms:created>
  <dcterms:modified xsi:type="dcterms:W3CDTF">2014-12-09T09:49:00Z</dcterms:modified>
</cp:coreProperties>
</file>