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FFDF2" w14:textId="77777777" w:rsidR="009E4DC6" w:rsidRPr="001B234D" w:rsidRDefault="009E4DC6" w:rsidP="009E4DC6">
      <w:pPr>
        <w:jc w:val="center"/>
        <w:rPr>
          <w:b/>
        </w:rPr>
      </w:pPr>
      <w:bookmarkStart w:id="0" w:name="_Hlk115779057"/>
      <w:r w:rsidRPr="001B234D">
        <w:rPr>
          <w:b/>
        </w:rPr>
        <w:t>СООБЩЕНИЕ О СУЩЕСТВЕННОМ ФАКТЕ</w:t>
      </w:r>
    </w:p>
    <w:p w14:paraId="04BE258D" w14:textId="77777777" w:rsidR="009E4DC6" w:rsidRDefault="009E4DC6" w:rsidP="009E4DC6">
      <w:pPr>
        <w:ind w:right="57"/>
        <w:jc w:val="center"/>
        <w:rPr>
          <w:b/>
          <w:sz w:val="22"/>
          <w:szCs w:val="22"/>
        </w:rPr>
      </w:pPr>
      <w:r w:rsidRPr="001B234D">
        <w:rPr>
          <w:b/>
          <w:sz w:val="22"/>
          <w:szCs w:val="22"/>
        </w:rPr>
        <w:t>«Об иных событиях (действиях), оказывающих, по мнению эмитента, существенное влияние на стоимость или котировки его ценных бумаг»</w:t>
      </w:r>
      <w:r>
        <w:rPr>
          <w:b/>
          <w:sz w:val="22"/>
          <w:szCs w:val="22"/>
        </w:rPr>
        <w:t xml:space="preserve"> </w:t>
      </w:r>
      <w:bookmarkEnd w:id="0"/>
    </w:p>
    <w:p w14:paraId="29AD8BFD" w14:textId="77777777" w:rsidR="00267622" w:rsidRPr="00F42507" w:rsidRDefault="00267622">
      <w:pPr>
        <w:pStyle w:val="a9"/>
        <w:spacing w:after="0"/>
        <w:rPr>
          <w:b w:val="0"/>
          <w:bCs w:val="0"/>
          <w:sz w:val="24"/>
          <w:szCs w:val="24"/>
        </w:rPr>
      </w:pPr>
    </w:p>
    <w:tbl>
      <w:tblPr>
        <w:tblW w:w="10598" w:type="dxa"/>
        <w:tblLayout w:type="fixed"/>
        <w:tblLook w:val="0000" w:firstRow="0" w:lastRow="0" w:firstColumn="0" w:lastColumn="0" w:noHBand="0" w:noVBand="0"/>
      </w:tblPr>
      <w:tblGrid>
        <w:gridCol w:w="4644"/>
        <w:gridCol w:w="1175"/>
        <w:gridCol w:w="2469"/>
        <w:gridCol w:w="21"/>
        <w:gridCol w:w="2176"/>
        <w:gridCol w:w="113"/>
      </w:tblGrid>
      <w:tr w:rsidR="000444A0" w:rsidRPr="005A6474" w14:paraId="2479A4CC" w14:textId="77777777" w:rsidTr="00AF5BB4">
        <w:tc>
          <w:tcPr>
            <w:tcW w:w="10598" w:type="dxa"/>
            <w:gridSpan w:val="6"/>
            <w:tcBorders>
              <w:top w:val="single" w:sz="4" w:space="0" w:color="auto"/>
              <w:left w:val="single" w:sz="4" w:space="0" w:color="auto"/>
              <w:bottom w:val="single" w:sz="4" w:space="0" w:color="auto"/>
              <w:right w:val="single" w:sz="4" w:space="0" w:color="auto"/>
            </w:tcBorders>
          </w:tcPr>
          <w:p w14:paraId="05D055D6" w14:textId="77777777" w:rsidR="000444A0" w:rsidRPr="0020490E" w:rsidRDefault="000444A0">
            <w:pPr>
              <w:jc w:val="center"/>
              <w:rPr>
                <w:sz w:val="22"/>
                <w:szCs w:val="22"/>
              </w:rPr>
            </w:pPr>
            <w:r w:rsidRPr="0020490E">
              <w:rPr>
                <w:sz w:val="22"/>
                <w:szCs w:val="22"/>
              </w:rPr>
              <w:t>1. Общие сведения</w:t>
            </w:r>
          </w:p>
        </w:tc>
      </w:tr>
      <w:tr w:rsidR="00F46C80" w:rsidRPr="005A6474" w14:paraId="7E958E67" w14:textId="77777777" w:rsidTr="00AF5BB4">
        <w:tc>
          <w:tcPr>
            <w:tcW w:w="4644" w:type="dxa"/>
            <w:tcBorders>
              <w:top w:val="single" w:sz="4" w:space="0" w:color="auto"/>
              <w:left w:val="single" w:sz="4" w:space="0" w:color="auto"/>
              <w:bottom w:val="single" w:sz="4" w:space="0" w:color="auto"/>
              <w:right w:val="single" w:sz="4" w:space="0" w:color="auto"/>
            </w:tcBorders>
            <w:shd w:val="clear" w:color="auto" w:fill="auto"/>
          </w:tcPr>
          <w:p w14:paraId="69B3E678" w14:textId="01DB0DBE" w:rsidR="00F46C80" w:rsidRPr="0020490E" w:rsidRDefault="00F46C80" w:rsidP="00F46C80">
            <w:pPr>
              <w:ind w:right="85"/>
              <w:rPr>
                <w:sz w:val="22"/>
                <w:szCs w:val="22"/>
              </w:rPr>
            </w:pPr>
            <w:r w:rsidRPr="00D23E57">
              <w:rPr>
                <w:sz w:val="22"/>
                <w:szCs w:val="22"/>
              </w:rPr>
              <w:t xml:space="preserve">1.1. Полное фирменное наименование эмитента </w:t>
            </w:r>
          </w:p>
        </w:tc>
        <w:tc>
          <w:tcPr>
            <w:tcW w:w="5954" w:type="dxa"/>
            <w:gridSpan w:val="5"/>
            <w:tcBorders>
              <w:top w:val="single" w:sz="4" w:space="0" w:color="auto"/>
              <w:left w:val="single" w:sz="4" w:space="0" w:color="auto"/>
              <w:bottom w:val="single" w:sz="4" w:space="0" w:color="auto"/>
              <w:right w:val="single" w:sz="4" w:space="0" w:color="auto"/>
            </w:tcBorders>
          </w:tcPr>
          <w:p w14:paraId="77E746D7" w14:textId="16E86271" w:rsidR="00F46C80" w:rsidRPr="00F46C80" w:rsidRDefault="00F46C80" w:rsidP="00F46C80">
            <w:pPr>
              <w:ind w:left="35" w:right="85"/>
              <w:rPr>
                <w:b/>
                <w:i/>
                <w:sz w:val="22"/>
                <w:szCs w:val="22"/>
              </w:rPr>
            </w:pPr>
            <w:r w:rsidRPr="00F46C80">
              <w:rPr>
                <w:b/>
                <w:bCs/>
                <w:i/>
                <w:iCs/>
                <w:sz w:val="22"/>
              </w:rPr>
              <w:t>Публичное акционерное общество «ФосАгро»</w:t>
            </w:r>
          </w:p>
        </w:tc>
      </w:tr>
      <w:tr w:rsidR="00F06BE2" w:rsidRPr="005A6474" w14:paraId="640F2254" w14:textId="77777777" w:rsidTr="00AF5BB4">
        <w:tc>
          <w:tcPr>
            <w:tcW w:w="4644" w:type="dxa"/>
            <w:tcBorders>
              <w:top w:val="single" w:sz="4" w:space="0" w:color="auto"/>
              <w:left w:val="single" w:sz="4" w:space="0" w:color="auto"/>
              <w:bottom w:val="single" w:sz="4" w:space="0" w:color="auto"/>
              <w:right w:val="single" w:sz="4" w:space="0" w:color="auto"/>
            </w:tcBorders>
            <w:shd w:val="clear" w:color="auto" w:fill="auto"/>
          </w:tcPr>
          <w:p w14:paraId="4A84FFA0" w14:textId="75D3C2AE" w:rsidR="00F06BE2" w:rsidRPr="0020490E" w:rsidRDefault="00F06BE2" w:rsidP="00F06BE2">
            <w:pPr>
              <w:ind w:right="85"/>
              <w:rPr>
                <w:sz w:val="22"/>
                <w:szCs w:val="22"/>
              </w:rPr>
            </w:pPr>
            <w:r w:rsidRPr="00D23E57">
              <w:rPr>
                <w:sz w:val="22"/>
                <w:szCs w:val="22"/>
              </w:rPr>
              <w:t>1.2. Адрес эмитента, указанный в едином государственном реестре юридических лиц</w:t>
            </w:r>
          </w:p>
        </w:tc>
        <w:tc>
          <w:tcPr>
            <w:tcW w:w="5954" w:type="dxa"/>
            <w:gridSpan w:val="5"/>
            <w:tcBorders>
              <w:top w:val="single" w:sz="4" w:space="0" w:color="auto"/>
              <w:left w:val="single" w:sz="4" w:space="0" w:color="auto"/>
              <w:bottom w:val="single" w:sz="4" w:space="0" w:color="auto"/>
              <w:right w:val="single" w:sz="4" w:space="0" w:color="auto"/>
            </w:tcBorders>
          </w:tcPr>
          <w:p w14:paraId="6B4F80DA" w14:textId="74ED5FC0" w:rsidR="00F06BE2" w:rsidRPr="00F46C80" w:rsidRDefault="00F06BE2" w:rsidP="00F06BE2">
            <w:pPr>
              <w:ind w:left="35" w:right="85"/>
              <w:rPr>
                <w:b/>
                <w:i/>
                <w:sz w:val="22"/>
                <w:szCs w:val="22"/>
              </w:rPr>
            </w:pPr>
            <w:r>
              <w:rPr>
                <w:b/>
                <w:bCs/>
                <w:i/>
                <w:iCs/>
                <w:sz w:val="22"/>
              </w:rPr>
              <w:t>119333, город Москва, Ленинский проспект, д. 55/1, стр. 1</w:t>
            </w:r>
          </w:p>
        </w:tc>
      </w:tr>
      <w:tr w:rsidR="00F06BE2" w:rsidRPr="005A6474" w14:paraId="7EEDAFD6" w14:textId="77777777" w:rsidTr="00AF5BB4">
        <w:tc>
          <w:tcPr>
            <w:tcW w:w="4644" w:type="dxa"/>
            <w:tcBorders>
              <w:top w:val="single" w:sz="4" w:space="0" w:color="auto"/>
              <w:left w:val="single" w:sz="4" w:space="0" w:color="auto"/>
              <w:bottom w:val="single" w:sz="4" w:space="0" w:color="auto"/>
              <w:right w:val="single" w:sz="4" w:space="0" w:color="auto"/>
            </w:tcBorders>
            <w:shd w:val="clear" w:color="auto" w:fill="auto"/>
          </w:tcPr>
          <w:p w14:paraId="33A4E987" w14:textId="64CA7820" w:rsidR="00F06BE2" w:rsidRPr="0020490E" w:rsidRDefault="00F06BE2" w:rsidP="00F06BE2">
            <w:pPr>
              <w:ind w:right="85"/>
              <w:rPr>
                <w:sz w:val="22"/>
                <w:szCs w:val="22"/>
              </w:rPr>
            </w:pPr>
            <w:r w:rsidRPr="00D23E57">
              <w:rPr>
                <w:sz w:val="22"/>
                <w:szCs w:val="22"/>
              </w:rPr>
              <w:t xml:space="preserve">1.3. </w:t>
            </w:r>
            <w:r w:rsidRPr="00C81635">
              <w:rPr>
                <w:sz w:val="22"/>
                <w:szCs w:val="22"/>
              </w:rPr>
              <w:t>Основной государственный регистрационный номер (ОГРН) эмитента</w:t>
            </w:r>
          </w:p>
        </w:tc>
        <w:tc>
          <w:tcPr>
            <w:tcW w:w="5954" w:type="dxa"/>
            <w:gridSpan w:val="5"/>
            <w:tcBorders>
              <w:top w:val="single" w:sz="4" w:space="0" w:color="auto"/>
              <w:left w:val="single" w:sz="4" w:space="0" w:color="auto"/>
              <w:bottom w:val="single" w:sz="4" w:space="0" w:color="auto"/>
              <w:right w:val="single" w:sz="4" w:space="0" w:color="auto"/>
            </w:tcBorders>
          </w:tcPr>
          <w:p w14:paraId="589FA0EE" w14:textId="182D6C46" w:rsidR="00F06BE2" w:rsidRPr="00F46C80" w:rsidRDefault="00F06BE2" w:rsidP="00F06BE2">
            <w:pPr>
              <w:ind w:left="35" w:right="85"/>
              <w:rPr>
                <w:b/>
                <w:i/>
                <w:sz w:val="22"/>
                <w:szCs w:val="22"/>
              </w:rPr>
            </w:pPr>
            <w:r>
              <w:rPr>
                <w:b/>
                <w:bCs/>
                <w:i/>
                <w:iCs/>
                <w:sz w:val="22"/>
              </w:rPr>
              <w:t>1027700190572</w:t>
            </w:r>
          </w:p>
        </w:tc>
      </w:tr>
      <w:tr w:rsidR="00F06BE2" w:rsidRPr="005A6474" w14:paraId="7C8CD867" w14:textId="77777777" w:rsidTr="00AF5BB4">
        <w:tc>
          <w:tcPr>
            <w:tcW w:w="4644" w:type="dxa"/>
            <w:tcBorders>
              <w:top w:val="single" w:sz="4" w:space="0" w:color="auto"/>
              <w:left w:val="single" w:sz="4" w:space="0" w:color="auto"/>
              <w:bottom w:val="single" w:sz="4" w:space="0" w:color="auto"/>
              <w:right w:val="single" w:sz="4" w:space="0" w:color="auto"/>
            </w:tcBorders>
            <w:shd w:val="clear" w:color="auto" w:fill="auto"/>
          </w:tcPr>
          <w:p w14:paraId="7F7F9BBA" w14:textId="396F9809" w:rsidR="00F06BE2" w:rsidRPr="0020490E" w:rsidRDefault="00F06BE2" w:rsidP="00F06BE2">
            <w:pPr>
              <w:ind w:right="85"/>
              <w:rPr>
                <w:sz w:val="22"/>
                <w:szCs w:val="22"/>
              </w:rPr>
            </w:pPr>
            <w:r w:rsidRPr="00D23E57">
              <w:rPr>
                <w:sz w:val="22"/>
                <w:szCs w:val="22"/>
              </w:rPr>
              <w:t>1.4. Идентификационный номер налогоплательщика (ИНН) эмитента</w:t>
            </w:r>
          </w:p>
        </w:tc>
        <w:tc>
          <w:tcPr>
            <w:tcW w:w="5954" w:type="dxa"/>
            <w:gridSpan w:val="5"/>
            <w:tcBorders>
              <w:top w:val="single" w:sz="4" w:space="0" w:color="auto"/>
              <w:left w:val="single" w:sz="4" w:space="0" w:color="auto"/>
              <w:bottom w:val="single" w:sz="4" w:space="0" w:color="auto"/>
              <w:right w:val="single" w:sz="4" w:space="0" w:color="auto"/>
            </w:tcBorders>
          </w:tcPr>
          <w:p w14:paraId="5D86197E" w14:textId="7DF09D21" w:rsidR="00F06BE2" w:rsidRPr="00F46C80" w:rsidRDefault="00F06BE2" w:rsidP="00F06BE2">
            <w:pPr>
              <w:ind w:left="35" w:right="85"/>
              <w:rPr>
                <w:b/>
                <w:i/>
                <w:sz w:val="22"/>
                <w:szCs w:val="22"/>
              </w:rPr>
            </w:pPr>
            <w:r>
              <w:rPr>
                <w:b/>
                <w:bCs/>
                <w:i/>
                <w:iCs/>
                <w:sz w:val="22"/>
              </w:rPr>
              <w:t>7736216869</w:t>
            </w:r>
          </w:p>
        </w:tc>
      </w:tr>
      <w:tr w:rsidR="00F06BE2" w:rsidRPr="005A6474" w14:paraId="6C554B7E" w14:textId="77777777" w:rsidTr="00AF5BB4">
        <w:tc>
          <w:tcPr>
            <w:tcW w:w="4644" w:type="dxa"/>
            <w:tcBorders>
              <w:top w:val="single" w:sz="4" w:space="0" w:color="auto"/>
              <w:left w:val="single" w:sz="4" w:space="0" w:color="auto"/>
              <w:bottom w:val="single" w:sz="4" w:space="0" w:color="auto"/>
              <w:right w:val="single" w:sz="4" w:space="0" w:color="auto"/>
            </w:tcBorders>
            <w:shd w:val="clear" w:color="auto" w:fill="auto"/>
          </w:tcPr>
          <w:p w14:paraId="4256DB42" w14:textId="6C3ABE84" w:rsidR="00F06BE2" w:rsidRPr="0020490E" w:rsidRDefault="00F06BE2" w:rsidP="00F06BE2">
            <w:pPr>
              <w:ind w:right="85"/>
              <w:rPr>
                <w:sz w:val="22"/>
                <w:szCs w:val="22"/>
              </w:rPr>
            </w:pPr>
            <w:r w:rsidRPr="00D23E57">
              <w:rPr>
                <w:sz w:val="22"/>
                <w:szCs w:val="22"/>
              </w:rPr>
              <w:t>1.5. Уникальный код эмитента, присвоенный Банком России</w:t>
            </w:r>
          </w:p>
        </w:tc>
        <w:tc>
          <w:tcPr>
            <w:tcW w:w="5954" w:type="dxa"/>
            <w:gridSpan w:val="5"/>
            <w:tcBorders>
              <w:top w:val="single" w:sz="4" w:space="0" w:color="auto"/>
              <w:left w:val="single" w:sz="4" w:space="0" w:color="auto"/>
              <w:bottom w:val="single" w:sz="4" w:space="0" w:color="auto"/>
              <w:right w:val="single" w:sz="4" w:space="0" w:color="auto"/>
            </w:tcBorders>
          </w:tcPr>
          <w:p w14:paraId="192645ED" w14:textId="41960CED" w:rsidR="00F06BE2" w:rsidRPr="00F46C80" w:rsidRDefault="00F06BE2" w:rsidP="00F06BE2">
            <w:pPr>
              <w:ind w:left="35" w:right="85"/>
              <w:rPr>
                <w:b/>
                <w:i/>
                <w:sz w:val="22"/>
                <w:szCs w:val="22"/>
              </w:rPr>
            </w:pPr>
            <w:r>
              <w:rPr>
                <w:b/>
                <w:bCs/>
                <w:i/>
                <w:iCs/>
                <w:sz w:val="22"/>
              </w:rPr>
              <w:t xml:space="preserve">06556-A </w:t>
            </w:r>
          </w:p>
        </w:tc>
      </w:tr>
      <w:tr w:rsidR="00F06BE2" w:rsidRPr="005A6474" w14:paraId="4A569640" w14:textId="77777777" w:rsidTr="00AF5BB4">
        <w:tc>
          <w:tcPr>
            <w:tcW w:w="4644" w:type="dxa"/>
            <w:tcBorders>
              <w:top w:val="single" w:sz="4" w:space="0" w:color="auto"/>
              <w:left w:val="single" w:sz="4" w:space="0" w:color="auto"/>
              <w:bottom w:val="single" w:sz="4" w:space="0" w:color="auto"/>
              <w:right w:val="single" w:sz="4" w:space="0" w:color="auto"/>
            </w:tcBorders>
            <w:shd w:val="clear" w:color="auto" w:fill="auto"/>
          </w:tcPr>
          <w:p w14:paraId="1F3E1C08" w14:textId="647ADB76" w:rsidR="00F06BE2" w:rsidRPr="00A44ECF" w:rsidRDefault="00F06BE2" w:rsidP="00F06BE2">
            <w:pPr>
              <w:ind w:right="85"/>
              <w:rPr>
                <w:sz w:val="22"/>
                <w:szCs w:val="22"/>
              </w:rPr>
            </w:pPr>
            <w:r w:rsidRPr="00A44ECF">
              <w:rPr>
                <w:sz w:val="22"/>
                <w:szCs w:val="22"/>
              </w:rPr>
              <w:t>1.6. Адрес страницы в сети "Интернет", используемой эмитентом для раскрытия информации</w:t>
            </w:r>
          </w:p>
        </w:tc>
        <w:tc>
          <w:tcPr>
            <w:tcW w:w="5954" w:type="dxa"/>
            <w:gridSpan w:val="5"/>
            <w:tcBorders>
              <w:top w:val="single" w:sz="4" w:space="0" w:color="auto"/>
              <w:left w:val="single" w:sz="4" w:space="0" w:color="auto"/>
              <w:bottom w:val="single" w:sz="4" w:space="0" w:color="auto"/>
              <w:right w:val="single" w:sz="4" w:space="0" w:color="auto"/>
            </w:tcBorders>
          </w:tcPr>
          <w:p w14:paraId="647B0F81" w14:textId="77777777" w:rsidR="00F06BE2" w:rsidRPr="00A44ECF" w:rsidRDefault="0078006C" w:rsidP="00F06BE2">
            <w:pPr>
              <w:ind w:right="85"/>
              <w:rPr>
                <w:b/>
                <w:bCs/>
                <w:i/>
                <w:iCs/>
                <w:sz w:val="22"/>
              </w:rPr>
            </w:pPr>
            <w:hyperlink r:id="rId7" w:history="1">
              <w:r w:rsidR="00F06BE2" w:rsidRPr="00A44ECF">
                <w:rPr>
                  <w:rStyle w:val="ab"/>
                  <w:b/>
                  <w:bCs/>
                  <w:i/>
                  <w:iCs/>
                  <w:sz w:val="22"/>
                </w:rPr>
                <w:t>http://www.phosagro.ru/ori/item4157.php</w:t>
              </w:r>
            </w:hyperlink>
          </w:p>
          <w:p w14:paraId="2CC6311B" w14:textId="600EA42C" w:rsidR="00F06BE2" w:rsidRPr="00A44ECF" w:rsidRDefault="0078006C" w:rsidP="00F06BE2">
            <w:pPr>
              <w:ind w:left="35" w:right="85"/>
              <w:rPr>
                <w:b/>
                <w:i/>
                <w:sz w:val="22"/>
                <w:szCs w:val="22"/>
              </w:rPr>
            </w:pPr>
            <w:hyperlink r:id="rId8" w:history="1">
              <w:r w:rsidR="00F06BE2" w:rsidRPr="00A44ECF">
                <w:rPr>
                  <w:rStyle w:val="ab"/>
                  <w:b/>
                  <w:bCs/>
                  <w:i/>
                  <w:iCs/>
                  <w:sz w:val="22"/>
                </w:rPr>
                <w:t>http://www.e-disclosure.ru/portal/company.aspx?id=573</w:t>
              </w:r>
            </w:hyperlink>
          </w:p>
        </w:tc>
      </w:tr>
      <w:tr w:rsidR="00F46C80" w:rsidRPr="005A6474" w14:paraId="2A47AC25" w14:textId="77777777" w:rsidTr="00AF5BB4">
        <w:tc>
          <w:tcPr>
            <w:tcW w:w="4644" w:type="dxa"/>
            <w:tcBorders>
              <w:top w:val="single" w:sz="4" w:space="0" w:color="auto"/>
              <w:left w:val="single" w:sz="4" w:space="0" w:color="auto"/>
              <w:bottom w:val="single" w:sz="4" w:space="0" w:color="auto"/>
              <w:right w:val="single" w:sz="4" w:space="0" w:color="auto"/>
            </w:tcBorders>
            <w:shd w:val="clear" w:color="auto" w:fill="auto"/>
          </w:tcPr>
          <w:p w14:paraId="76CEECFD" w14:textId="6043A25F" w:rsidR="00F46C80" w:rsidRPr="00A44ECF" w:rsidRDefault="00F46C80" w:rsidP="00F46C80">
            <w:pPr>
              <w:ind w:right="85"/>
              <w:rPr>
                <w:sz w:val="22"/>
                <w:szCs w:val="22"/>
              </w:rPr>
            </w:pPr>
            <w:r w:rsidRPr="00A44ECF">
              <w:rPr>
                <w:sz w:val="22"/>
                <w:szCs w:val="22"/>
              </w:rPr>
              <w:t>1.7. Дата наступления события (существенного факта), о котором составлено сообщение</w:t>
            </w:r>
          </w:p>
        </w:tc>
        <w:tc>
          <w:tcPr>
            <w:tcW w:w="5954" w:type="dxa"/>
            <w:gridSpan w:val="5"/>
            <w:tcBorders>
              <w:top w:val="single" w:sz="4" w:space="0" w:color="auto"/>
              <w:left w:val="single" w:sz="4" w:space="0" w:color="auto"/>
              <w:bottom w:val="single" w:sz="4" w:space="0" w:color="auto"/>
              <w:right w:val="single" w:sz="4" w:space="0" w:color="auto"/>
            </w:tcBorders>
          </w:tcPr>
          <w:p w14:paraId="7B669AA5" w14:textId="5D0A635B" w:rsidR="00F46C80" w:rsidRPr="00A44ECF" w:rsidRDefault="00F46C80" w:rsidP="00F46C80">
            <w:pPr>
              <w:ind w:right="85"/>
              <w:rPr>
                <w:b/>
                <w:i/>
                <w:sz w:val="22"/>
                <w:szCs w:val="22"/>
              </w:rPr>
            </w:pPr>
            <w:r w:rsidRPr="00A44ECF">
              <w:rPr>
                <w:b/>
                <w:i/>
                <w:color w:val="000000" w:themeColor="text1"/>
                <w:sz w:val="22"/>
              </w:rPr>
              <w:t>10.04.2023</w:t>
            </w:r>
          </w:p>
        </w:tc>
      </w:tr>
      <w:tr w:rsidR="000444A0" w:rsidRPr="005A6474" w14:paraId="3C502AC4" w14:textId="77777777" w:rsidTr="00AF5BB4">
        <w:tblPrEx>
          <w:tblBorders>
            <w:top w:val="single" w:sz="4" w:space="0" w:color="auto"/>
            <w:left w:val="single" w:sz="4" w:space="0" w:color="auto"/>
            <w:bottom w:val="single" w:sz="4" w:space="0" w:color="auto"/>
            <w:right w:val="single" w:sz="4" w:space="0" w:color="auto"/>
          </w:tblBorders>
        </w:tblPrEx>
        <w:tc>
          <w:tcPr>
            <w:tcW w:w="10598" w:type="dxa"/>
            <w:gridSpan w:val="6"/>
            <w:tcBorders>
              <w:top w:val="single" w:sz="4" w:space="0" w:color="auto"/>
              <w:bottom w:val="single" w:sz="4" w:space="0" w:color="auto"/>
            </w:tcBorders>
          </w:tcPr>
          <w:p w14:paraId="10E856A1" w14:textId="77777777" w:rsidR="00654D6A" w:rsidRPr="0020490E" w:rsidRDefault="000444A0" w:rsidP="00D970AF">
            <w:pPr>
              <w:jc w:val="center"/>
              <w:rPr>
                <w:sz w:val="22"/>
                <w:szCs w:val="22"/>
              </w:rPr>
            </w:pPr>
            <w:r w:rsidRPr="0020490E">
              <w:rPr>
                <w:sz w:val="22"/>
                <w:szCs w:val="22"/>
              </w:rPr>
              <w:t>2. Содержание сообщения</w:t>
            </w:r>
          </w:p>
        </w:tc>
      </w:tr>
      <w:tr w:rsidR="009E4DC6" w:rsidRPr="005A6474" w14:paraId="284EBC7D" w14:textId="77777777" w:rsidTr="00AF5BB4">
        <w:tblPrEx>
          <w:tblBorders>
            <w:top w:val="single" w:sz="4" w:space="0" w:color="auto"/>
            <w:left w:val="single" w:sz="4" w:space="0" w:color="auto"/>
            <w:bottom w:val="single" w:sz="4" w:space="0" w:color="auto"/>
            <w:right w:val="single" w:sz="4" w:space="0" w:color="auto"/>
          </w:tblBorders>
        </w:tblPrEx>
        <w:tc>
          <w:tcPr>
            <w:tcW w:w="10598" w:type="dxa"/>
            <w:gridSpan w:val="6"/>
            <w:tcBorders>
              <w:top w:val="single" w:sz="4" w:space="0" w:color="auto"/>
              <w:bottom w:val="single" w:sz="4" w:space="0" w:color="auto"/>
            </w:tcBorders>
          </w:tcPr>
          <w:p w14:paraId="34151837" w14:textId="7B014576" w:rsidR="009E4DC6" w:rsidRPr="00F30FD9" w:rsidRDefault="009E4DC6" w:rsidP="00D970AF">
            <w:pPr>
              <w:jc w:val="center"/>
              <w:rPr>
                <w:sz w:val="22"/>
                <w:szCs w:val="22"/>
                <w:highlight w:val="green"/>
              </w:rPr>
            </w:pPr>
            <w:r w:rsidRPr="001B234D">
              <w:rPr>
                <w:sz w:val="22"/>
                <w:szCs w:val="22"/>
              </w:rPr>
              <w:t>О порядке размещения и сроках для направления оферт от потенциальных приобретателей (инвесторов) на заключение предварительных договоров купли-продажи Биржевых облигаций серии БО-П01-CNY</w:t>
            </w:r>
          </w:p>
        </w:tc>
      </w:tr>
      <w:tr w:rsidR="000444A0" w:rsidRPr="005A6474" w14:paraId="56D0FFFB" w14:textId="77777777" w:rsidTr="00AF5BB4">
        <w:tblPrEx>
          <w:tblBorders>
            <w:top w:val="single" w:sz="4" w:space="0" w:color="auto"/>
            <w:left w:val="single" w:sz="4" w:space="0" w:color="auto"/>
            <w:bottom w:val="single" w:sz="4" w:space="0" w:color="auto"/>
            <w:right w:val="single" w:sz="4" w:space="0" w:color="auto"/>
          </w:tblBorders>
        </w:tblPrEx>
        <w:trPr>
          <w:trHeight w:val="420"/>
        </w:trPr>
        <w:tc>
          <w:tcPr>
            <w:tcW w:w="10598" w:type="dxa"/>
            <w:gridSpan w:val="6"/>
            <w:tcBorders>
              <w:top w:val="single" w:sz="4" w:space="0" w:color="auto"/>
              <w:bottom w:val="single" w:sz="4" w:space="0" w:color="auto"/>
            </w:tcBorders>
          </w:tcPr>
          <w:p w14:paraId="30FE8BDE" w14:textId="6B8DDA1C" w:rsidR="00380CA2" w:rsidRPr="00A44507" w:rsidRDefault="009E4DC6" w:rsidP="00A334E9">
            <w:pPr>
              <w:ind w:right="57"/>
              <w:jc w:val="both"/>
              <w:rPr>
                <w:b/>
                <w:i/>
                <w:sz w:val="22"/>
                <w:szCs w:val="22"/>
              </w:rPr>
            </w:pPr>
            <w:r w:rsidRPr="00A44507">
              <w:rPr>
                <w:sz w:val="22"/>
                <w:szCs w:val="22"/>
              </w:rPr>
              <w:t>2.1. 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00A334E9" w:rsidRPr="00A44507">
              <w:rPr>
                <w:b/>
                <w:sz w:val="22"/>
                <w:szCs w:val="22"/>
              </w:rPr>
              <w:t xml:space="preserve"> </w:t>
            </w:r>
            <w:r w:rsidR="00DE25EA" w:rsidRPr="00A44507">
              <w:rPr>
                <w:b/>
                <w:i/>
                <w:sz w:val="22"/>
                <w:szCs w:val="22"/>
              </w:rPr>
              <w:t>У</w:t>
            </w:r>
            <w:r w:rsidR="00063F80" w:rsidRPr="00A44507">
              <w:rPr>
                <w:b/>
                <w:i/>
                <w:sz w:val="22"/>
                <w:szCs w:val="22"/>
              </w:rPr>
              <w:t>полномоченным органом управл</w:t>
            </w:r>
            <w:r w:rsidR="00F46C80" w:rsidRPr="00A44507">
              <w:rPr>
                <w:b/>
                <w:i/>
                <w:sz w:val="22"/>
                <w:szCs w:val="22"/>
              </w:rPr>
              <w:t>ения ПАО «ФосАгро</w:t>
            </w:r>
            <w:r w:rsidR="00063F80" w:rsidRPr="00A44507">
              <w:rPr>
                <w:b/>
                <w:i/>
                <w:sz w:val="22"/>
                <w:szCs w:val="22"/>
              </w:rPr>
              <w:t>»</w:t>
            </w:r>
            <w:r w:rsidR="00DE25EA" w:rsidRPr="00A44507">
              <w:rPr>
                <w:b/>
                <w:i/>
                <w:sz w:val="22"/>
                <w:szCs w:val="22"/>
              </w:rPr>
              <w:t xml:space="preserve"> принято</w:t>
            </w:r>
            <w:r w:rsidR="00063F80" w:rsidRPr="00A44507">
              <w:rPr>
                <w:b/>
                <w:i/>
                <w:sz w:val="22"/>
                <w:szCs w:val="22"/>
              </w:rPr>
              <w:t xml:space="preserve"> </w:t>
            </w:r>
            <w:r w:rsidR="004A52BB" w:rsidRPr="00A44507">
              <w:rPr>
                <w:b/>
                <w:i/>
                <w:sz w:val="22"/>
                <w:szCs w:val="22"/>
              </w:rPr>
              <w:t xml:space="preserve">решение </w:t>
            </w:r>
            <w:r w:rsidR="002D5122" w:rsidRPr="00A44507">
              <w:rPr>
                <w:b/>
                <w:i/>
                <w:sz w:val="22"/>
                <w:szCs w:val="22"/>
              </w:rPr>
              <w:t xml:space="preserve">о порядке размещения, о сроках </w:t>
            </w:r>
            <w:r w:rsidR="004140D9" w:rsidRPr="00A44507">
              <w:rPr>
                <w:b/>
                <w:i/>
                <w:sz w:val="22"/>
                <w:szCs w:val="22"/>
              </w:rPr>
              <w:t>для</w:t>
            </w:r>
            <w:r w:rsidR="002D5122" w:rsidRPr="00A44507">
              <w:rPr>
                <w:b/>
                <w:i/>
                <w:sz w:val="22"/>
                <w:szCs w:val="22"/>
              </w:rPr>
              <w:t xml:space="preserve"> </w:t>
            </w:r>
            <w:r w:rsidR="00063F80" w:rsidRPr="00A44507">
              <w:rPr>
                <w:b/>
                <w:i/>
                <w:sz w:val="22"/>
                <w:szCs w:val="22"/>
              </w:rPr>
              <w:t xml:space="preserve">направления оферт от потенциальных приобретателей (инвесторов) на заключение предварительных договоров </w:t>
            </w:r>
            <w:r w:rsidR="002D5122" w:rsidRPr="00A44507">
              <w:rPr>
                <w:b/>
                <w:i/>
                <w:sz w:val="22"/>
                <w:szCs w:val="22"/>
              </w:rPr>
              <w:t xml:space="preserve">купли-продажи </w:t>
            </w:r>
            <w:r w:rsidRPr="00A44507">
              <w:rPr>
                <w:b/>
                <w:i/>
                <w:sz w:val="22"/>
                <w:szCs w:val="22"/>
              </w:rPr>
              <w:t>биржевых облигаций бездокументарных процентных неконвертируемых ПАО «ФосАгро» с централизованным учетом прав серии БО-П01-CNY, номинальной стоимостью 1 000 (Одна тысяча) китайских юаней каждая, размещаемые по открытой подписке в рамках Программы биржевых облигаций, имеющей идентификационный номер 4-06556-А-001Р-02Е от 27.11.2015., присвоенный ПАО Московская Биржа</w:t>
            </w:r>
            <w:r w:rsidR="00380CA2" w:rsidRPr="00A44507">
              <w:rPr>
                <w:b/>
                <w:i/>
                <w:sz w:val="22"/>
                <w:szCs w:val="22"/>
              </w:rPr>
              <w:t xml:space="preserve"> (далее – Биржевые облигации серии БО-П01-CNY).</w:t>
            </w:r>
          </w:p>
          <w:p w14:paraId="6523589C" w14:textId="2A1057F6" w:rsidR="009E4DC6" w:rsidRPr="00A44507" w:rsidRDefault="00380CA2" w:rsidP="00380CA2">
            <w:pPr>
              <w:ind w:right="57"/>
              <w:jc w:val="both"/>
              <w:rPr>
                <w:b/>
                <w:bCs/>
                <w:i/>
                <w:sz w:val="22"/>
                <w:szCs w:val="22"/>
              </w:rPr>
            </w:pPr>
            <w:r w:rsidRPr="00A44507">
              <w:rPr>
                <w:b/>
                <w:i/>
                <w:sz w:val="22"/>
                <w:szCs w:val="22"/>
              </w:rPr>
              <w:t>Р</w:t>
            </w:r>
            <w:r w:rsidR="009E4DC6" w:rsidRPr="00A44507">
              <w:rPr>
                <w:b/>
                <w:i/>
                <w:sz w:val="22"/>
                <w:szCs w:val="22"/>
              </w:rPr>
              <w:t>егистрационный номер выпуска</w:t>
            </w:r>
            <w:r w:rsidRPr="00A44507">
              <w:rPr>
                <w:b/>
                <w:i/>
                <w:sz w:val="22"/>
                <w:szCs w:val="22"/>
              </w:rPr>
              <w:t xml:space="preserve"> и м</w:t>
            </w:r>
            <w:r w:rsidR="009E4DC6" w:rsidRPr="00A44507">
              <w:rPr>
                <w:b/>
                <w:bCs/>
                <w:i/>
                <w:sz w:val="22"/>
                <w:szCs w:val="22"/>
              </w:rPr>
              <w:t xml:space="preserve">еждународный код (номер) идентификации ценных бумаг (ISIN): </w:t>
            </w:r>
            <w:r w:rsidR="00AF5BB4" w:rsidRPr="00A44507">
              <w:rPr>
                <w:b/>
                <w:bCs/>
                <w:i/>
                <w:color w:val="000000"/>
                <w:sz w:val="22"/>
                <w:szCs w:val="22"/>
                <w:shd w:val="clear" w:color="auto" w:fill="FFFFFF"/>
              </w:rPr>
              <w:t>не присвоен</w:t>
            </w:r>
            <w:r w:rsidRPr="00A44507">
              <w:rPr>
                <w:b/>
                <w:bCs/>
                <w:i/>
                <w:color w:val="000000"/>
                <w:sz w:val="22"/>
                <w:szCs w:val="22"/>
                <w:shd w:val="clear" w:color="auto" w:fill="FFFFFF"/>
              </w:rPr>
              <w:t>ы</w:t>
            </w:r>
            <w:r w:rsidR="009E4DC6" w:rsidRPr="00A44507">
              <w:rPr>
                <w:b/>
                <w:bCs/>
                <w:i/>
                <w:color w:val="000000"/>
                <w:sz w:val="22"/>
                <w:szCs w:val="22"/>
                <w:shd w:val="clear" w:color="auto" w:fill="FFFFFF"/>
              </w:rPr>
              <w:t xml:space="preserve"> на дату раскрытия настоящего сообщения</w:t>
            </w:r>
            <w:r w:rsidR="009E4DC6" w:rsidRPr="00A44507">
              <w:rPr>
                <w:b/>
                <w:bCs/>
                <w:i/>
                <w:sz w:val="22"/>
                <w:szCs w:val="22"/>
              </w:rPr>
              <w:t>.</w:t>
            </w:r>
          </w:p>
          <w:p w14:paraId="6C36C7F7" w14:textId="026A25BE" w:rsidR="00925DDB" w:rsidRPr="00A44507" w:rsidRDefault="00925DDB" w:rsidP="00AF5BB4">
            <w:pPr>
              <w:adjustRightInd w:val="0"/>
              <w:spacing w:before="200"/>
              <w:jc w:val="both"/>
              <w:outlineLvl w:val="3"/>
              <w:rPr>
                <w:b/>
                <w:bCs/>
                <w:i/>
                <w:iCs/>
                <w:sz w:val="22"/>
                <w:szCs w:val="22"/>
              </w:rPr>
            </w:pPr>
            <w:r w:rsidRPr="00A44507">
              <w:rPr>
                <w:sz w:val="22"/>
                <w:szCs w:val="22"/>
              </w:rPr>
              <w:t xml:space="preserve">2.2. В </w:t>
            </w:r>
            <w:r w:rsidR="00A334E9" w:rsidRPr="00A44507">
              <w:rPr>
                <w:sz w:val="22"/>
                <w:szCs w:val="22"/>
              </w:rPr>
              <w:t>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sidRPr="00A44507">
              <w:rPr>
                <w:sz w:val="22"/>
                <w:szCs w:val="22"/>
              </w:rPr>
              <w:t xml:space="preserve">: </w:t>
            </w:r>
            <w:r w:rsidRPr="00A44507">
              <w:rPr>
                <w:b/>
                <w:bCs/>
                <w:i/>
                <w:sz w:val="22"/>
                <w:szCs w:val="22"/>
              </w:rPr>
              <w:t xml:space="preserve">Привести информацию не представляется возможным, информация затрагивает потенциальных приобретателей </w:t>
            </w:r>
            <w:r w:rsidRPr="00A44507">
              <w:rPr>
                <w:b/>
                <w:i/>
                <w:sz w:val="22"/>
                <w:szCs w:val="22"/>
              </w:rPr>
              <w:t>Биржевых облигаций серии БО-П01-CNY</w:t>
            </w:r>
            <w:r w:rsidRPr="00A44507">
              <w:rPr>
                <w:b/>
                <w:bCs/>
                <w:i/>
                <w:sz w:val="22"/>
                <w:szCs w:val="22"/>
              </w:rPr>
              <w:t>.</w:t>
            </w:r>
          </w:p>
          <w:p w14:paraId="0CA23AEE" w14:textId="71A695BD" w:rsidR="00925DDB" w:rsidRPr="00A44507" w:rsidRDefault="00925DDB" w:rsidP="00AF5BB4">
            <w:pPr>
              <w:spacing w:before="200"/>
              <w:ind w:right="57"/>
              <w:jc w:val="both"/>
              <w:rPr>
                <w:color w:val="000000"/>
                <w:sz w:val="22"/>
                <w:szCs w:val="22"/>
                <w:shd w:val="clear" w:color="auto" w:fill="FFFFFF"/>
              </w:rPr>
            </w:pPr>
            <w:r w:rsidRPr="00A44507">
              <w:rPr>
                <w:sz w:val="22"/>
                <w:szCs w:val="22"/>
              </w:rPr>
              <w:t xml:space="preserve">2.3. В </w:t>
            </w:r>
            <w:r w:rsidR="00A334E9" w:rsidRPr="00A44507">
              <w:rPr>
                <w:sz w:val="22"/>
                <w:szCs w:val="22"/>
              </w:rPr>
              <w:t>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A44507">
              <w:rPr>
                <w:sz w:val="22"/>
                <w:szCs w:val="22"/>
              </w:rPr>
              <w:t>:</w:t>
            </w:r>
          </w:p>
          <w:p w14:paraId="09C87CB5" w14:textId="1E197552" w:rsidR="00A67B42" w:rsidRPr="00A44507" w:rsidRDefault="00A67B42" w:rsidP="00AF5BB4">
            <w:pPr>
              <w:ind w:right="57"/>
              <w:jc w:val="both"/>
              <w:rPr>
                <w:b/>
                <w:i/>
                <w:sz w:val="22"/>
                <w:szCs w:val="22"/>
              </w:rPr>
            </w:pPr>
            <w:r w:rsidRPr="00A44507">
              <w:rPr>
                <w:color w:val="000000"/>
                <w:sz w:val="22"/>
                <w:szCs w:val="22"/>
                <w:shd w:val="clear" w:color="auto" w:fill="FFFFFF"/>
              </w:rPr>
              <w:t xml:space="preserve">Уполномоченный орган управления эмитента, принявший решение: </w:t>
            </w:r>
            <w:r w:rsidR="00723B8D" w:rsidRPr="00A44507">
              <w:rPr>
                <w:b/>
                <w:i/>
                <w:color w:val="000000"/>
                <w:sz w:val="22"/>
                <w:szCs w:val="22"/>
                <w:shd w:val="clear" w:color="auto" w:fill="FFFFFF"/>
              </w:rPr>
              <w:t xml:space="preserve">Единоличный исполнительный орган </w:t>
            </w:r>
            <w:r w:rsidR="00F46C80" w:rsidRPr="00A44507">
              <w:rPr>
                <w:b/>
                <w:i/>
                <w:color w:val="000000"/>
                <w:sz w:val="22"/>
                <w:szCs w:val="22"/>
                <w:shd w:val="clear" w:color="auto" w:fill="FFFFFF"/>
              </w:rPr>
              <w:t>–</w:t>
            </w:r>
            <w:r w:rsidR="00723B8D" w:rsidRPr="00A44507">
              <w:rPr>
                <w:b/>
                <w:i/>
                <w:color w:val="000000"/>
                <w:sz w:val="22"/>
                <w:szCs w:val="22"/>
                <w:shd w:val="clear" w:color="auto" w:fill="FFFFFF"/>
              </w:rPr>
              <w:t xml:space="preserve"> </w:t>
            </w:r>
            <w:r w:rsidR="00F46C80" w:rsidRPr="00A44507">
              <w:rPr>
                <w:b/>
                <w:i/>
                <w:color w:val="000000"/>
                <w:sz w:val="22"/>
                <w:szCs w:val="22"/>
                <w:shd w:val="clear" w:color="auto" w:fill="FFFFFF"/>
              </w:rPr>
              <w:t xml:space="preserve">Генеральный директор </w:t>
            </w:r>
            <w:r w:rsidR="00F46C80" w:rsidRPr="00A44507">
              <w:rPr>
                <w:b/>
                <w:i/>
                <w:sz w:val="22"/>
                <w:szCs w:val="22"/>
                <w:shd w:val="clear" w:color="auto" w:fill="FFFFFF"/>
              </w:rPr>
              <w:t>ПАО «ФосАгро</w:t>
            </w:r>
            <w:r w:rsidR="00723B8D" w:rsidRPr="00A44507">
              <w:rPr>
                <w:b/>
                <w:i/>
                <w:sz w:val="22"/>
                <w:szCs w:val="22"/>
                <w:shd w:val="clear" w:color="auto" w:fill="FFFFFF"/>
              </w:rPr>
              <w:t>».</w:t>
            </w:r>
          </w:p>
          <w:p w14:paraId="6B64EC7D" w14:textId="689F2907" w:rsidR="00A67B42" w:rsidRPr="0078006C" w:rsidRDefault="00A67B42" w:rsidP="00AF5BB4">
            <w:pPr>
              <w:ind w:right="57"/>
              <w:jc w:val="both"/>
              <w:rPr>
                <w:b/>
                <w:i/>
                <w:sz w:val="22"/>
                <w:szCs w:val="22"/>
                <w:shd w:val="clear" w:color="auto" w:fill="FFFFFF"/>
              </w:rPr>
            </w:pPr>
            <w:r w:rsidRPr="00A44507">
              <w:rPr>
                <w:sz w:val="22"/>
                <w:szCs w:val="22"/>
                <w:shd w:val="clear" w:color="auto" w:fill="FFFFFF"/>
              </w:rPr>
              <w:t xml:space="preserve">Дата принятия решения: </w:t>
            </w:r>
            <w:r w:rsidRPr="00A44507">
              <w:rPr>
                <w:b/>
                <w:i/>
                <w:sz w:val="22"/>
                <w:szCs w:val="22"/>
                <w:shd w:val="clear" w:color="auto" w:fill="FFFFFF"/>
              </w:rPr>
              <w:t>«</w:t>
            </w:r>
            <w:r w:rsidR="00F46C80" w:rsidRPr="00A44507">
              <w:rPr>
                <w:b/>
                <w:i/>
                <w:sz w:val="22"/>
                <w:szCs w:val="22"/>
                <w:shd w:val="clear" w:color="auto" w:fill="FFFFFF"/>
              </w:rPr>
              <w:t>10</w:t>
            </w:r>
            <w:r w:rsidRPr="00A44507">
              <w:rPr>
                <w:b/>
                <w:i/>
                <w:sz w:val="22"/>
                <w:szCs w:val="22"/>
                <w:shd w:val="clear" w:color="auto" w:fill="FFFFFF"/>
              </w:rPr>
              <w:t xml:space="preserve">» </w:t>
            </w:r>
            <w:r w:rsidR="00F46C80" w:rsidRPr="00A44507">
              <w:rPr>
                <w:b/>
                <w:i/>
                <w:sz w:val="22"/>
                <w:szCs w:val="22"/>
                <w:shd w:val="clear" w:color="auto" w:fill="FFFFFF"/>
              </w:rPr>
              <w:t>апреля</w:t>
            </w:r>
            <w:r w:rsidR="006728DB" w:rsidRPr="00A44507">
              <w:rPr>
                <w:b/>
                <w:i/>
                <w:sz w:val="22"/>
                <w:szCs w:val="22"/>
                <w:shd w:val="clear" w:color="auto" w:fill="FFFFFF"/>
              </w:rPr>
              <w:t xml:space="preserve"> </w:t>
            </w:r>
            <w:r w:rsidRPr="00A44507">
              <w:rPr>
                <w:b/>
                <w:i/>
                <w:sz w:val="22"/>
                <w:szCs w:val="22"/>
                <w:shd w:val="clear" w:color="auto" w:fill="FFFFFF"/>
              </w:rPr>
              <w:t>202</w:t>
            </w:r>
            <w:r w:rsidR="00F46C80" w:rsidRPr="00A44507">
              <w:rPr>
                <w:b/>
                <w:i/>
                <w:sz w:val="22"/>
                <w:szCs w:val="22"/>
                <w:shd w:val="clear" w:color="auto" w:fill="FFFFFF"/>
              </w:rPr>
              <w:t>3</w:t>
            </w:r>
            <w:r w:rsidRPr="00A44507">
              <w:rPr>
                <w:b/>
                <w:i/>
                <w:sz w:val="22"/>
                <w:szCs w:val="22"/>
                <w:shd w:val="clear" w:color="auto" w:fill="FFFFFF"/>
              </w:rPr>
              <w:t xml:space="preserve"> года, Приказ от «</w:t>
            </w:r>
            <w:r w:rsidR="00F46C80" w:rsidRPr="00A44507">
              <w:rPr>
                <w:b/>
                <w:i/>
                <w:sz w:val="22"/>
                <w:szCs w:val="22"/>
                <w:shd w:val="clear" w:color="auto" w:fill="FFFFFF"/>
              </w:rPr>
              <w:t>10</w:t>
            </w:r>
            <w:r w:rsidRPr="00A44507">
              <w:rPr>
                <w:b/>
                <w:i/>
                <w:sz w:val="22"/>
                <w:szCs w:val="22"/>
                <w:shd w:val="clear" w:color="auto" w:fill="FFFFFF"/>
              </w:rPr>
              <w:t xml:space="preserve">» </w:t>
            </w:r>
            <w:r w:rsidR="00F46C80" w:rsidRPr="00A44507">
              <w:rPr>
                <w:b/>
                <w:i/>
                <w:sz w:val="22"/>
                <w:szCs w:val="22"/>
                <w:shd w:val="clear" w:color="auto" w:fill="FFFFFF"/>
              </w:rPr>
              <w:t>апреля</w:t>
            </w:r>
            <w:r w:rsidR="006728DB" w:rsidRPr="00A44507">
              <w:rPr>
                <w:b/>
                <w:i/>
                <w:sz w:val="22"/>
                <w:szCs w:val="22"/>
                <w:shd w:val="clear" w:color="auto" w:fill="FFFFFF"/>
              </w:rPr>
              <w:t xml:space="preserve"> </w:t>
            </w:r>
            <w:r w:rsidRPr="00A44507">
              <w:rPr>
                <w:b/>
                <w:i/>
                <w:sz w:val="22"/>
                <w:szCs w:val="22"/>
                <w:shd w:val="clear" w:color="auto" w:fill="FFFFFF"/>
              </w:rPr>
              <w:t>202</w:t>
            </w:r>
            <w:r w:rsidR="00F46C80" w:rsidRPr="00A44507">
              <w:rPr>
                <w:b/>
                <w:i/>
                <w:sz w:val="22"/>
                <w:szCs w:val="22"/>
                <w:shd w:val="clear" w:color="auto" w:fill="FFFFFF"/>
              </w:rPr>
              <w:t>3</w:t>
            </w:r>
            <w:r w:rsidRPr="00A44507">
              <w:rPr>
                <w:b/>
                <w:i/>
                <w:sz w:val="22"/>
                <w:szCs w:val="22"/>
                <w:shd w:val="clear" w:color="auto" w:fill="FFFFFF"/>
              </w:rPr>
              <w:t xml:space="preserve"> года № </w:t>
            </w:r>
            <w:r w:rsidR="0078006C" w:rsidRPr="0078006C">
              <w:rPr>
                <w:b/>
                <w:i/>
                <w:sz w:val="22"/>
                <w:szCs w:val="22"/>
                <w:shd w:val="clear" w:color="auto" w:fill="FFFFFF"/>
              </w:rPr>
              <w:t>16</w:t>
            </w:r>
            <w:bookmarkStart w:id="1" w:name="_GoBack"/>
            <w:bookmarkEnd w:id="1"/>
          </w:p>
          <w:p w14:paraId="19D17538" w14:textId="77777777" w:rsidR="00A67B42" w:rsidRPr="00A44507" w:rsidRDefault="00A67B42" w:rsidP="00AF5BB4">
            <w:pPr>
              <w:ind w:right="57"/>
              <w:jc w:val="both"/>
              <w:rPr>
                <w:sz w:val="22"/>
                <w:szCs w:val="22"/>
              </w:rPr>
            </w:pPr>
            <w:r w:rsidRPr="00A44507">
              <w:rPr>
                <w:sz w:val="22"/>
                <w:szCs w:val="22"/>
                <w:shd w:val="clear" w:color="auto" w:fill="FFFFFF"/>
              </w:rPr>
              <w:t>Содержание принятого реш</w:t>
            </w:r>
            <w:r w:rsidRPr="00A44507">
              <w:rPr>
                <w:color w:val="000000"/>
                <w:sz w:val="22"/>
                <w:szCs w:val="22"/>
                <w:shd w:val="clear" w:color="auto" w:fill="FFFFFF"/>
              </w:rPr>
              <w:t>ения:</w:t>
            </w:r>
          </w:p>
          <w:p w14:paraId="511CD8D5" w14:textId="1344107D" w:rsidR="00B50938" w:rsidRPr="00A44507" w:rsidRDefault="00E92372" w:rsidP="00AF5BB4">
            <w:pPr>
              <w:spacing w:before="40" w:after="40"/>
              <w:ind w:firstLine="23"/>
              <w:jc w:val="both"/>
              <w:rPr>
                <w:b/>
                <w:i/>
                <w:sz w:val="22"/>
                <w:szCs w:val="22"/>
              </w:rPr>
            </w:pPr>
            <w:r w:rsidRPr="00A44507">
              <w:rPr>
                <w:b/>
                <w:i/>
                <w:color w:val="000000"/>
                <w:sz w:val="22"/>
                <w:szCs w:val="22"/>
                <w:shd w:val="clear" w:color="auto" w:fill="FFFFFF"/>
              </w:rPr>
              <w:t>«</w:t>
            </w:r>
            <w:r w:rsidR="00571F89" w:rsidRPr="00A44507">
              <w:rPr>
                <w:b/>
                <w:i/>
                <w:color w:val="000000"/>
                <w:sz w:val="22"/>
                <w:szCs w:val="22"/>
                <w:shd w:val="clear" w:color="auto" w:fill="FFFFFF"/>
              </w:rPr>
              <w:t xml:space="preserve">Определить, </w:t>
            </w:r>
            <w:r w:rsidR="00571F89" w:rsidRPr="00A44507">
              <w:rPr>
                <w:b/>
                <w:i/>
                <w:sz w:val="22"/>
                <w:szCs w:val="22"/>
              </w:rPr>
              <w:t>что размещение выпуска Биржевых облигаций серии БО-П01-CNY осуществляется путем сбора адресных заявок со стороны приобретателей на приобретение Биржевых облигаций серии БО-П01-CNY по фиксированной цене и ставке первого купона на первый купонный период в порядке и на условиях, предусмотренных Программой биржевых облигаций, утвержденной Советом директоров ПАО «ФосАгро» 28.10.2015</w:t>
            </w:r>
            <w:r w:rsidR="00A74217" w:rsidRPr="00A44507">
              <w:rPr>
                <w:b/>
                <w:i/>
                <w:sz w:val="22"/>
                <w:szCs w:val="22"/>
              </w:rPr>
              <w:t xml:space="preserve"> (протокол от 28.10.2015 № б/н</w:t>
            </w:r>
            <w:r w:rsidR="00B50938" w:rsidRPr="00A44507">
              <w:rPr>
                <w:b/>
                <w:i/>
                <w:sz w:val="22"/>
                <w:szCs w:val="22"/>
              </w:rPr>
              <w:t>).</w:t>
            </w:r>
          </w:p>
          <w:p w14:paraId="424723EE" w14:textId="38CF2329" w:rsidR="00B50938" w:rsidRPr="00A44507" w:rsidRDefault="00A74217" w:rsidP="00AF5BB4">
            <w:pPr>
              <w:spacing w:before="40" w:after="40"/>
              <w:ind w:firstLine="23"/>
              <w:jc w:val="both"/>
              <w:rPr>
                <w:b/>
                <w:i/>
                <w:sz w:val="22"/>
                <w:szCs w:val="22"/>
              </w:rPr>
            </w:pPr>
            <w:r w:rsidRPr="00A44507">
              <w:rPr>
                <w:b/>
                <w:i/>
                <w:sz w:val="22"/>
                <w:szCs w:val="22"/>
              </w:rPr>
              <w:t>Установить</w:t>
            </w:r>
            <w:r w:rsidR="00571F89" w:rsidRPr="00A44507">
              <w:rPr>
                <w:b/>
                <w:i/>
                <w:sz w:val="22"/>
                <w:szCs w:val="22"/>
              </w:rPr>
              <w:t>, что срок для направления оферт от потенциальных приобретателей (инвесторов) на заключение предварительных договоров, в соответствии с которыми потенциальные приобретатели (инвесторы) и ПАО «ФосАгро» обязуются заключить в дату начала размещения Биржевых облигаций серии БО-П01-CNY основные договоры купли-продажи Биржевых облигаций серии БО-П01-CNY начинается в 11:00 московского времени 10.04.2023 и заканчиваетс</w:t>
            </w:r>
            <w:r w:rsidR="00382A43" w:rsidRPr="00A44507">
              <w:rPr>
                <w:b/>
                <w:i/>
                <w:sz w:val="22"/>
                <w:szCs w:val="22"/>
              </w:rPr>
              <w:t>я в 15:00 московского времени 10</w:t>
            </w:r>
            <w:r w:rsidR="00571F89" w:rsidRPr="00A44507">
              <w:rPr>
                <w:b/>
                <w:i/>
                <w:sz w:val="22"/>
                <w:szCs w:val="22"/>
              </w:rPr>
              <w:t>.04.2023.</w:t>
            </w:r>
          </w:p>
          <w:p w14:paraId="5B6945FD" w14:textId="22211FF1" w:rsidR="00B50938" w:rsidRPr="00A44507" w:rsidRDefault="00B50938" w:rsidP="00AF5BB4">
            <w:pPr>
              <w:spacing w:before="40" w:after="40"/>
              <w:ind w:firstLine="23"/>
              <w:jc w:val="both"/>
              <w:rPr>
                <w:b/>
                <w:i/>
                <w:sz w:val="22"/>
                <w:szCs w:val="22"/>
              </w:rPr>
            </w:pPr>
            <w:r w:rsidRPr="00A44507">
              <w:rPr>
                <w:b/>
                <w:i/>
                <w:sz w:val="22"/>
                <w:szCs w:val="22"/>
              </w:rPr>
              <w:lastRenderedPageBreak/>
              <w:t xml:space="preserve">Установить, </w:t>
            </w:r>
            <w:r w:rsidR="00571F89" w:rsidRPr="00A44507">
              <w:rPr>
                <w:b/>
                <w:i/>
                <w:sz w:val="22"/>
                <w:szCs w:val="22"/>
              </w:rPr>
              <w:t>что оферты от потенциальных приобретателей (инвесторов) на заключение предварительных договоров, в соответствии с которыми инвесторы и ПАО «ФосАгро» обязуются заключить в дату начала размещения Биржевых облигаций серии БО-П01-CNY основные договоры купли-продажи Биржевых облигаций серии БО-П01-CNY, должны быть направлены андеррайтеру Банк ГПБ (АО) по адресу электронной почты: Syndicate@gazprombank.ru (вниманию Семена Одинцова).</w:t>
            </w:r>
          </w:p>
          <w:p w14:paraId="10B4BCE4" w14:textId="79767F1B" w:rsidR="00B50938" w:rsidRPr="00A44507" w:rsidRDefault="00B50938" w:rsidP="00AF5BB4">
            <w:pPr>
              <w:spacing w:before="40" w:after="40"/>
              <w:ind w:firstLine="23"/>
              <w:jc w:val="both"/>
              <w:rPr>
                <w:b/>
                <w:i/>
                <w:sz w:val="22"/>
                <w:szCs w:val="22"/>
              </w:rPr>
            </w:pPr>
            <w:r w:rsidRPr="00A44507">
              <w:rPr>
                <w:b/>
                <w:i/>
                <w:sz w:val="22"/>
                <w:szCs w:val="22"/>
              </w:rPr>
              <w:t xml:space="preserve">Утвердить </w:t>
            </w:r>
            <w:r w:rsidR="00571F89" w:rsidRPr="00A44507">
              <w:rPr>
                <w:b/>
                <w:i/>
                <w:sz w:val="22"/>
                <w:szCs w:val="22"/>
              </w:rPr>
              <w:t>прилагаемую форму оферты от потенциального приобретателя (инвестора) с предложением заключить предварительный договор купли-продажи Биржевых облигаций серии БО-П01-CNY.</w:t>
            </w:r>
          </w:p>
          <w:p w14:paraId="7A3E0C66" w14:textId="77777777" w:rsidR="00014315" w:rsidRPr="00A44507" w:rsidRDefault="00014315" w:rsidP="00AF5BB4">
            <w:pPr>
              <w:tabs>
                <w:tab w:val="left" w:pos="405"/>
              </w:tabs>
              <w:ind w:right="33"/>
              <w:jc w:val="both"/>
              <w:rPr>
                <w:b/>
                <w:i/>
                <w:sz w:val="22"/>
                <w:szCs w:val="22"/>
              </w:rPr>
            </w:pPr>
          </w:p>
          <w:p w14:paraId="6C580423" w14:textId="11C68EB1" w:rsidR="00E92372" w:rsidRPr="00A44507" w:rsidRDefault="00E92372" w:rsidP="00AF5BB4">
            <w:pPr>
              <w:tabs>
                <w:tab w:val="left" w:pos="405"/>
              </w:tabs>
              <w:ind w:right="33"/>
              <w:jc w:val="both"/>
              <w:rPr>
                <w:b/>
                <w:i/>
                <w:sz w:val="22"/>
                <w:szCs w:val="22"/>
              </w:rPr>
            </w:pPr>
            <w:r w:rsidRPr="00A44507">
              <w:rPr>
                <w:b/>
                <w:i/>
                <w:sz w:val="22"/>
                <w:szCs w:val="22"/>
              </w:rPr>
              <w:t xml:space="preserve">Форма оферты от потенциального приобретателя (инвестора) с предложением заключить предварительный договор купли – продажи Биржевых облигаций серии </w:t>
            </w:r>
            <w:r w:rsidR="00571F89" w:rsidRPr="00A44507">
              <w:rPr>
                <w:b/>
                <w:i/>
                <w:sz w:val="22"/>
                <w:szCs w:val="22"/>
              </w:rPr>
              <w:t>БО-П01-CNY</w:t>
            </w:r>
          </w:p>
          <w:p w14:paraId="7921779A" w14:textId="77777777" w:rsidR="00E92372" w:rsidRPr="00A44507" w:rsidRDefault="00E92372" w:rsidP="00AF5BB4">
            <w:pPr>
              <w:tabs>
                <w:tab w:val="left" w:pos="405"/>
              </w:tabs>
              <w:ind w:right="33"/>
              <w:jc w:val="both"/>
              <w:rPr>
                <w:b/>
                <w:i/>
                <w:sz w:val="22"/>
                <w:szCs w:val="22"/>
              </w:rPr>
            </w:pPr>
          </w:p>
          <w:p w14:paraId="22B81384" w14:textId="3B8A06B8" w:rsidR="00B609C3" w:rsidRPr="00A44507" w:rsidRDefault="00B609C3" w:rsidP="00AF5BB4">
            <w:pPr>
              <w:autoSpaceDE/>
              <w:autoSpaceDN/>
              <w:jc w:val="both"/>
              <w:rPr>
                <w:sz w:val="22"/>
                <w:szCs w:val="22"/>
              </w:rPr>
            </w:pPr>
            <w:r w:rsidRPr="00A44507">
              <w:rPr>
                <w:sz w:val="22"/>
                <w:szCs w:val="22"/>
              </w:rPr>
              <w:t xml:space="preserve"> [НА БЛАНКЕ ПРИОБРЕТАТЕЛЯ (ИНВЕСТОРА)]</w:t>
            </w:r>
          </w:p>
          <w:p w14:paraId="0AD17BE8" w14:textId="77777777" w:rsidR="00B609C3" w:rsidRPr="00A44507" w:rsidRDefault="00B609C3" w:rsidP="00AF5BB4">
            <w:pPr>
              <w:autoSpaceDE/>
              <w:autoSpaceDN/>
              <w:spacing w:after="160" w:line="259" w:lineRule="auto"/>
              <w:jc w:val="both"/>
              <w:rPr>
                <w:rFonts w:eastAsia="Calibri"/>
                <w:sz w:val="22"/>
                <w:szCs w:val="22"/>
                <w:lang w:eastAsia="en-US"/>
              </w:rPr>
            </w:pPr>
          </w:p>
          <w:p w14:paraId="218B3BAA" w14:textId="77777777" w:rsidR="00B609C3" w:rsidRPr="00A44507" w:rsidRDefault="00B609C3" w:rsidP="00AF5BB4">
            <w:pPr>
              <w:autoSpaceDE/>
              <w:autoSpaceDN/>
              <w:spacing w:after="160" w:line="259" w:lineRule="auto"/>
              <w:jc w:val="both"/>
              <w:rPr>
                <w:rFonts w:eastAsia="Calibri"/>
                <w:sz w:val="22"/>
                <w:szCs w:val="22"/>
                <w:lang w:eastAsia="en-US"/>
              </w:rPr>
            </w:pPr>
            <w:r w:rsidRPr="00A44507">
              <w:rPr>
                <w:rFonts w:eastAsia="Calibri"/>
                <w:sz w:val="22"/>
                <w:szCs w:val="22"/>
                <w:lang w:eastAsia="en-US"/>
              </w:rPr>
              <w:t xml:space="preserve">Дата:                                                                                                                                                    </w:t>
            </w:r>
          </w:p>
          <w:p w14:paraId="1B978918" w14:textId="77777777" w:rsidR="00014315" w:rsidRPr="00A44507" w:rsidRDefault="00014315" w:rsidP="00AF5BB4">
            <w:pPr>
              <w:ind w:left="5692"/>
              <w:jc w:val="both"/>
              <w:rPr>
                <w:sz w:val="22"/>
                <w:szCs w:val="22"/>
              </w:rPr>
            </w:pPr>
            <w:r w:rsidRPr="00A44507">
              <w:rPr>
                <w:sz w:val="22"/>
                <w:szCs w:val="22"/>
              </w:rPr>
              <w:t>в Банк ГПБ (АО)</w:t>
            </w:r>
          </w:p>
          <w:p w14:paraId="1F732C78" w14:textId="77777777" w:rsidR="00014315" w:rsidRPr="00A44507" w:rsidRDefault="00014315" w:rsidP="00AF5BB4">
            <w:pPr>
              <w:ind w:left="5692"/>
              <w:jc w:val="both"/>
              <w:rPr>
                <w:sz w:val="22"/>
                <w:szCs w:val="22"/>
              </w:rPr>
            </w:pPr>
            <w:r w:rsidRPr="00A44507">
              <w:rPr>
                <w:sz w:val="22"/>
                <w:szCs w:val="22"/>
              </w:rPr>
              <w:t>Вниманию: Семена Одинцова</w:t>
            </w:r>
          </w:p>
          <w:p w14:paraId="207DCDC3" w14:textId="77777777" w:rsidR="00014315" w:rsidRPr="00A44507" w:rsidRDefault="00014315" w:rsidP="00AF5BB4">
            <w:pPr>
              <w:ind w:left="5692"/>
              <w:jc w:val="both"/>
              <w:rPr>
                <w:sz w:val="22"/>
                <w:szCs w:val="22"/>
              </w:rPr>
            </w:pPr>
            <w:r w:rsidRPr="00A44507">
              <w:rPr>
                <w:sz w:val="22"/>
                <w:szCs w:val="22"/>
                <w:lang w:val="en-US"/>
              </w:rPr>
              <w:t>E</w:t>
            </w:r>
            <w:r w:rsidRPr="00A44507">
              <w:rPr>
                <w:sz w:val="22"/>
                <w:szCs w:val="22"/>
              </w:rPr>
              <w:t>-</w:t>
            </w:r>
            <w:r w:rsidRPr="00A44507">
              <w:rPr>
                <w:sz w:val="22"/>
                <w:szCs w:val="22"/>
                <w:lang w:val="en-US"/>
              </w:rPr>
              <w:t>mail</w:t>
            </w:r>
            <w:r w:rsidRPr="00A44507">
              <w:rPr>
                <w:sz w:val="22"/>
                <w:szCs w:val="22"/>
              </w:rPr>
              <w:t xml:space="preserve">: </w:t>
            </w:r>
            <w:hyperlink r:id="rId9" w:history="1">
              <w:r w:rsidRPr="00A44507">
                <w:rPr>
                  <w:rStyle w:val="ab"/>
                  <w:color w:val="auto"/>
                  <w:sz w:val="22"/>
                  <w:szCs w:val="22"/>
                </w:rPr>
                <w:t>Syndicate@gazprombank.ru</w:t>
              </w:r>
            </w:hyperlink>
          </w:p>
          <w:p w14:paraId="154B8756" w14:textId="77777777" w:rsidR="00014315" w:rsidRPr="00A44507" w:rsidRDefault="00014315" w:rsidP="00AF5BB4">
            <w:pPr>
              <w:ind w:left="4395"/>
              <w:jc w:val="both"/>
              <w:rPr>
                <w:sz w:val="22"/>
                <w:szCs w:val="22"/>
              </w:rPr>
            </w:pPr>
          </w:p>
          <w:p w14:paraId="2691BB83" w14:textId="2854203B" w:rsidR="00571F89" w:rsidRPr="00A44507" w:rsidRDefault="00571F89" w:rsidP="00AF5BB4">
            <w:pPr>
              <w:jc w:val="both"/>
              <w:rPr>
                <w:b/>
              </w:rPr>
            </w:pPr>
            <w:r w:rsidRPr="00A44507">
              <w:rPr>
                <w:b/>
              </w:rPr>
              <w:t>ОФЕРТА О ЗАКЛЮЧЕНИИ ПРЕДВАРИТЕЛЬНОГО ДОГОВОРА КУПЛИ-ПРОДАЖИ</w:t>
            </w:r>
          </w:p>
          <w:p w14:paraId="3E653DB7" w14:textId="77777777" w:rsidR="009E4DC6" w:rsidRPr="00A44507" w:rsidRDefault="009E4DC6" w:rsidP="00AF5BB4">
            <w:pPr>
              <w:jc w:val="both"/>
              <w:rPr>
                <w:b/>
              </w:rPr>
            </w:pPr>
          </w:p>
          <w:p w14:paraId="3FD357C6" w14:textId="77777777" w:rsidR="00571F89" w:rsidRPr="00A44507" w:rsidRDefault="00571F89" w:rsidP="00AF5BB4">
            <w:pPr>
              <w:jc w:val="both"/>
              <w:rPr>
                <w:color w:val="000000" w:themeColor="text1"/>
                <w:sz w:val="24"/>
                <w:szCs w:val="24"/>
              </w:rPr>
            </w:pPr>
            <w:r w:rsidRPr="00A44507">
              <w:rPr>
                <w:color w:val="000000" w:themeColor="text1"/>
                <w:sz w:val="24"/>
                <w:szCs w:val="24"/>
              </w:rPr>
              <w:t xml:space="preserve">Мы ознакомились с условиями и порядком участия в размещении бездокументарных процентных неконвертируемых биржевых облигаций Публичного акционерного общества «ФосАгро» (далее – Эмитент) с централизованным учетом прав серии БО-П01-CNY, размещаемых по открытой подписке в рамках Программы биржевых облигаций, имеющей идентификационный номер 4-06556-А-001Р-02Е от «27» ноября 2015 года, присвоенный ПАО Московская Биржа (далее – Биржевые облигации серии БО-П01-CNY), изложенными в Программе биржевых облигаций, утвержденной Советом директоров ПАО «ФосАгро» «28» октября 2015 года (протокол от «28» октября 2015 года № б/н). </w:t>
            </w:r>
          </w:p>
          <w:p w14:paraId="29DB0FD6" w14:textId="180B39B5" w:rsidR="00571F89" w:rsidRPr="00A44507" w:rsidRDefault="00571F89" w:rsidP="00AF5BB4">
            <w:pPr>
              <w:jc w:val="both"/>
              <w:rPr>
                <w:color w:val="000000" w:themeColor="text1"/>
                <w:sz w:val="24"/>
                <w:szCs w:val="24"/>
              </w:rPr>
            </w:pPr>
            <w:r w:rsidRPr="00A44507">
              <w:rPr>
                <w:color w:val="000000" w:themeColor="text1"/>
                <w:sz w:val="24"/>
                <w:szCs w:val="24"/>
              </w:rPr>
              <w:t xml:space="preserve">Тщательно проанализировав финансовые, экономические, юридические и иные риски и последствия приобретения и владения Биржевыми облигациями серии БО-П01-CNY, мы, </w:t>
            </w:r>
            <w:r w:rsidRPr="00A44507">
              <w:rPr>
                <w:i/>
                <w:color w:val="000000" w:themeColor="text1"/>
                <w:sz w:val="24"/>
                <w:szCs w:val="24"/>
              </w:rPr>
              <w:t xml:space="preserve">[действующие как доверительный управляющий (для управляющих компаний),] </w:t>
            </w:r>
            <w:r w:rsidRPr="00A44507">
              <w:rPr>
                <w:color w:val="000000" w:themeColor="text1"/>
                <w:sz w:val="24"/>
                <w:szCs w:val="24"/>
              </w:rPr>
              <w:t>настоящим обязуемся заключить в дату начала размещения Биржевых облигаций серии БО-П01-CNY основные договоры купли-продажи о приобретении нами Биржевых облигаций серии БО-П01-CNY у Банк ГПБ (АО), оказывающего Эмитенту услуги по размещению Биржевых облигаций серии БО-П01-CNY, на следующих условиях:</w:t>
            </w:r>
          </w:p>
          <w:p w14:paraId="01B190DA" w14:textId="1172FDF7" w:rsidR="009E4DC6" w:rsidRPr="00A44507" w:rsidRDefault="009E4DC6" w:rsidP="00AF5BB4">
            <w:pPr>
              <w:jc w:val="both"/>
              <w:rPr>
                <w:color w:val="000000" w:themeColor="text1"/>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3947"/>
              <w:gridCol w:w="3933"/>
            </w:tblGrid>
            <w:tr w:rsidR="00C165BD" w:rsidRPr="00A44507" w14:paraId="79591882" w14:textId="77777777" w:rsidTr="00C165BD">
              <w:tc>
                <w:tcPr>
                  <w:tcW w:w="1199" w:type="pct"/>
                  <w:tcBorders>
                    <w:top w:val="single" w:sz="4" w:space="0" w:color="auto"/>
                    <w:left w:val="single" w:sz="4" w:space="0" w:color="auto"/>
                    <w:bottom w:val="single" w:sz="4" w:space="0" w:color="auto"/>
                    <w:right w:val="single" w:sz="4" w:space="0" w:color="auto"/>
                  </w:tcBorders>
                  <w:hideMark/>
                </w:tcPr>
                <w:p w14:paraId="0DAA8629" w14:textId="77777777" w:rsidR="00C165BD" w:rsidRPr="00A44507" w:rsidRDefault="00C165BD" w:rsidP="00C165BD">
                  <w:pPr>
                    <w:ind w:left="-105" w:right="-114"/>
                    <w:jc w:val="center"/>
                    <w:rPr>
                      <w:sz w:val="22"/>
                      <w:szCs w:val="22"/>
                    </w:rPr>
                  </w:pPr>
                  <w:r w:rsidRPr="00A44507">
                    <w:rPr>
                      <w:sz w:val="22"/>
                      <w:szCs w:val="22"/>
                    </w:rPr>
                    <w:t xml:space="preserve">Максимальная сумма, на которую мы готовы купить Биржевые облигации серии </w:t>
                  </w:r>
                </w:p>
                <w:p w14:paraId="61E996A1" w14:textId="439A8238" w:rsidR="00C165BD" w:rsidRPr="00A44507" w:rsidRDefault="00C165BD" w:rsidP="00C165BD">
                  <w:pPr>
                    <w:ind w:left="-105" w:right="-114"/>
                    <w:jc w:val="center"/>
                    <w:rPr>
                      <w:sz w:val="22"/>
                      <w:szCs w:val="22"/>
                    </w:rPr>
                  </w:pPr>
                  <w:r w:rsidRPr="00A44507">
                    <w:rPr>
                      <w:sz w:val="22"/>
                      <w:szCs w:val="22"/>
                    </w:rPr>
                    <w:t>БО-П01-CNY (в китайских юанях)*</w:t>
                  </w:r>
                </w:p>
              </w:tc>
              <w:tc>
                <w:tcPr>
                  <w:tcW w:w="1904" w:type="pct"/>
                  <w:tcBorders>
                    <w:top w:val="single" w:sz="4" w:space="0" w:color="auto"/>
                    <w:left w:val="single" w:sz="4" w:space="0" w:color="auto"/>
                    <w:bottom w:val="single" w:sz="4" w:space="0" w:color="auto"/>
                    <w:right w:val="single" w:sz="4" w:space="0" w:color="auto"/>
                  </w:tcBorders>
                  <w:hideMark/>
                </w:tcPr>
                <w:p w14:paraId="5944801E" w14:textId="77777777" w:rsidR="00C165BD" w:rsidRPr="00A44507" w:rsidRDefault="00C165BD" w:rsidP="00C165BD">
                  <w:pPr>
                    <w:ind w:left="-105" w:right="-114"/>
                    <w:jc w:val="center"/>
                    <w:rPr>
                      <w:sz w:val="22"/>
                      <w:szCs w:val="22"/>
                    </w:rPr>
                  </w:pPr>
                  <w:r w:rsidRPr="00A44507">
                    <w:rPr>
                      <w:sz w:val="22"/>
                      <w:szCs w:val="22"/>
                    </w:rPr>
                    <w:t xml:space="preserve">Минимальная ставка первого купона по Биржевым облигациям серии </w:t>
                  </w:r>
                </w:p>
                <w:p w14:paraId="30B40F75" w14:textId="67D261AF" w:rsidR="00C165BD" w:rsidRPr="00A44507" w:rsidRDefault="00C165BD" w:rsidP="00C165BD">
                  <w:pPr>
                    <w:ind w:left="-105" w:right="-114"/>
                    <w:jc w:val="center"/>
                    <w:rPr>
                      <w:sz w:val="22"/>
                      <w:szCs w:val="22"/>
                    </w:rPr>
                  </w:pPr>
                  <w:r w:rsidRPr="00A44507">
                    <w:rPr>
                      <w:sz w:val="22"/>
                      <w:szCs w:val="22"/>
                    </w:rPr>
                    <w:t>БО-П01-CNY, при которой мы готовы приобрести Биржевые облигации серии БО-П01-CNY на указанную максимальную сумму (в % годовых)</w:t>
                  </w:r>
                </w:p>
              </w:tc>
              <w:tc>
                <w:tcPr>
                  <w:tcW w:w="1897" w:type="pct"/>
                  <w:tcBorders>
                    <w:top w:val="single" w:sz="4" w:space="0" w:color="auto"/>
                    <w:left w:val="single" w:sz="4" w:space="0" w:color="auto"/>
                    <w:bottom w:val="single" w:sz="4" w:space="0" w:color="auto"/>
                    <w:right w:val="single" w:sz="4" w:space="0" w:color="auto"/>
                  </w:tcBorders>
                </w:tcPr>
                <w:p w14:paraId="7A72172C" w14:textId="2842C30D" w:rsidR="00C165BD" w:rsidRPr="00A44507" w:rsidRDefault="00C165BD" w:rsidP="00C165BD">
                  <w:pPr>
                    <w:ind w:left="-105" w:right="-114"/>
                    <w:jc w:val="center"/>
                    <w:rPr>
                      <w:sz w:val="22"/>
                      <w:szCs w:val="22"/>
                    </w:rPr>
                  </w:pPr>
                  <w:r w:rsidRPr="00A44507">
                    <w:rPr>
                      <w:sz w:val="22"/>
                      <w:szCs w:val="22"/>
                    </w:rPr>
                    <w:t>Минимальный размер премии для расчета порядка определения размера второго-</w:t>
                  </w:r>
                  <w:r w:rsidR="002D6026">
                    <w:rPr>
                      <w:sz w:val="22"/>
                      <w:szCs w:val="22"/>
                    </w:rPr>
                    <w:t>двенадцатого</w:t>
                  </w:r>
                  <w:r w:rsidRPr="00A44507">
                    <w:rPr>
                      <w:sz w:val="22"/>
                      <w:szCs w:val="22"/>
                    </w:rPr>
                    <w:t xml:space="preserve"> купонов по Биржевым облигациям серии </w:t>
                  </w:r>
                </w:p>
                <w:p w14:paraId="537BD5A7" w14:textId="05EFE494" w:rsidR="00C165BD" w:rsidRPr="00A44507" w:rsidRDefault="00C165BD" w:rsidP="00C165BD">
                  <w:pPr>
                    <w:ind w:left="-105" w:right="-114"/>
                    <w:jc w:val="center"/>
                    <w:rPr>
                      <w:sz w:val="22"/>
                      <w:szCs w:val="22"/>
                    </w:rPr>
                  </w:pPr>
                  <w:r w:rsidRPr="00A44507">
                    <w:rPr>
                      <w:sz w:val="22"/>
                      <w:szCs w:val="22"/>
                    </w:rPr>
                    <w:t>БО-П01-CNY (в %)**</w:t>
                  </w:r>
                </w:p>
                <w:p w14:paraId="50C0390A" w14:textId="77777777" w:rsidR="00C165BD" w:rsidRPr="00A44507" w:rsidRDefault="00C165BD" w:rsidP="00C165BD">
                  <w:pPr>
                    <w:ind w:left="-105" w:right="-114"/>
                    <w:jc w:val="center"/>
                    <w:rPr>
                      <w:sz w:val="22"/>
                      <w:szCs w:val="22"/>
                    </w:rPr>
                  </w:pPr>
                </w:p>
              </w:tc>
            </w:tr>
            <w:tr w:rsidR="00C165BD" w:rsidRPr="00A44507" w14:paraId="62AC89ED" w14:textId="77777777" w:rsidTr="00C165BD">
              <w:tc>
                <w:tcPr>
                  <w:tcW w:w="1199" w:type="pct"/>
                  <w:tcBorders>
                    <w:top w:val="single" w:sz="4" w:space="0" w:color="auto"/>
                    <w:left w:val="single" w:sz="4" w:space="0" w:color="auto"/>
                    <w:bottom w:val="single" w:sz="4" w:space="0" w:color="auto"/>
                    <w:right w:val="single" w:sz="4" w:space="0" w:color="auto"/>
                  </w:tcBorders>
                  <w:vAlign w:val="center"/>
                  <w:hideMark/>
                </w:tcPr>
                <w:p w14:paraId="6A0E384C" w14:textId="77777777" w:rsidR="00C165BD" w:rsidRPr="00A44507" w:rsidRDefault="00C165BD" w:rsidP="00C165BD">
                  <w:pPr>
                    <w:ind w:left="-105" w:right="-114"/>
                    <w:jc w:val="center"/>
                    <w:rPr>
                      <w:i/>
                      <w:sz w:val="22"/>
                      <w:szCs w:val="22"/>
                    </w:rPr>
                  </w:pPr>
                  <w:r w:rsidRPr="00A44507">
                    <w:rPr>
                      <w:i/>
                      <w:sz w:val="22"/>
                      <w:szCs w:val="22"/>
                    </w:rPr>
                    <w:t>[пожалуйста, укажите]</w:t>
                  </w:r>
                </w:p>
              </w:tc>
              <w:tc>
                <w:tcPr>
                  <w:tcW w:w="1904" w:type="pct"/>
                  <w:tcBorders>
                    <w:top w:val="single" w:sz="4" w:space="0" w:color="auto"/>
                    <w:left w:val="single" w:sz="4" w:space="0" w:color="auto"/>
                    <w:bottom w:val="single" w:sz="4" w:space="0" w:color="auto"/>
                    <w:right w:val="single" w:sz="4" w:space="0" w:color="auto"/>
                  </w:tcBorders>
                  <w:vAlign w:val="center"/>
                  <w:hideMark/>
                </w:tcPr>
                <w:p w14:paraId="3E92AC3A" w14:textId="77777777" w:rsidR="00C165BD" w:rsidRPr="00A44507" w:rsidRDefault="00C165BD" w:rsidP="00C165BD">
                  <w:pPr>
                    <w:ind w:left="-105" w:right="-114"/>
                    <w:jc w:val="center"/>
                    <w:rPr>
                      <w:i/>
                      <w:sz w:val="22"/>
                      <w:szCs w:val="22"/>
                    </w:rPr>
                  </w:pPr>
                  <w:r w:rsidRPr="00A44507">
                    <w:rPr>
                      <w:i/>
                      <w:sz w:val="22"/>
                      <w:szCs w:val="22"/>
                    </w:rPr>
                    <w:t>[пожалуйста, укажите]</w:t>
                  </w:r>
                </w:p>
              </w:tc>
              <w:tc>
                <w:tcPr>
                  <w:tcW w:w="1897" w:type="pct"/>
                  <w:tcBorders>
                    <w:top w:val="single" w:sz="4" w:space="0" w:color="auto"/>
                    <w:left w:val="single" w:sz="4" w:space="0" w:color="auto"/>
                    <w:bottom w:val="single" w:sz="4" w:space="0" w:color="auto"/>
                    <w:right w:val="single" w:sz="4" w:space="0" w:color="auto"/>
                  </w:tcBorders>
                  <w:vAlign w:val="center"/>
                  <w:hideMark/>
                </w:tcPr>
                <w:p w14:paraId="1BE60723" w14:textId="77777777" w:rsidR="00C165BD" w:rsidRPr="00A44507" w:rsidRDefault="00C165BD" w:rsidP="00C165BD">
                  <w:pPr>
                    <w:ind w:left="-105" w:right="-114"/>
                    <w:jc w:val="center"/>
                    <w:rPr>
                      <w:i/>
                      <w:sz w:val="22"/>
                      <w:szCs w:val="22"/>
                    </w:rPr>
                  </w:pPr>
                  <w:r w:rsidRPr="00A44507">
                    <w:rPr>
                      <w:i/>
                      <w:sz w:val="22"/>
                      <w:szCs w:val="22"/>
                    </w:rPr>
                    <w:t>[пожалуйста, укажите]</w:t>
                  </w:r>
                </w:p>
              </w:tc>
            </w:tr>
          </w:tbl>
          <w:p w14:paraId="03E08DE4" w14:textId="77777777" w:rsidR="00571F89" w:rsidRPr="00A44507" w:rsidRDefault="00571F89" w:rsidP="00AF5BB4">
            <w:pPr>
              <w:jc w:val="both"/>
              <w:rPr>
                <w:color w:val="000000" w:themeColor="text1"/>
                <w:sz w:val="24"/>
                <w:szCs w:val="24"/>
              </w:rPr>
            </w:pPr>
          </w:p>
          <w:p w14:paraId="58B014C1" w14:textId="77777777" w:rsidR="00571F89" w:rsidRPr="00A44507" w:rsidRDefault="00571F89" w:rsidP="00AF5BB4">
            <w:pPr>
              <w:jc w:val="both"/>
              <w:rPr>
                <w:i/>
                <w:sz w:val="24"/>
                <w:szCs w:val="24"/>
              </w:rPr>
            </w:pPr>
            <w:r w:rsidRPr="00A44507">
              <w:rPr>
                <w:color w:val="000000" w:themeColor="text1"/>
                <w:sz w:val="24"/>
                <w:szCs w:val="24"/>
              </w:rPr>
              <w:t>Обращаем Ваше внимание, что Участником торгов ПАО Московская Биржа, выставляющим заявки на покупку Биржевых облигаций серии БО-П01-CNY по нашему поручению</w:t>
            </w:r>
            <w:r w:rsidRPr="00A44507">
              <w:rPr>
                <w:sz w:val="24"/>
                <w:szCs w:val="24"/>
              </w:rPr>
              <w:t xml:space="preserve">, будет выступать </w:t>
            </w:r>
            <w:r w:rsidRPr="00A44507">
              <w:rPr>
                <w:i/>
                <w:sz w:val="24"/>
                <w:szCs w:val="24"/>
              </w:rPr>
              <w:t>[пожалуйста, укажите название своего брокера] (для Покупателей, работающих через брокера).</w:t>
            </w:r>
          </w:p>
          <w:p w14:paraId="76192167" w14:textId="57489D88" w:rsidR="00571F89" w:rsidRPr="00A44507" w:rsidRDefault="00571F89" w:rsidP="00AF5BB4">
            <w:pPr>
              <w:jc w:val="both"/>
              <w:rPr>
                <w:sz w:val="24"/>
                <w:szCs w:val="24"/>
              </w:rPr>
            </w:pPr>
            <w:r w:rsidRPr="00A44507">
              <w:rPr>
                <w:sz w:val="24"/>
                <w:szCs w:val="24"/>
              </w:rPr>
              <w:t xml:space="preserve">Настоящая оферта действительна </w:t>
            </w:r>
            <w:r w:rsidR="00A74217" w:rsidRPr="00A44507">
              <w:rPr>
                <w:sz w:val="24"/>
                <w:szCs w:val="24"/>
              </w:rPr>
              <w:t>по «1</w:t>
            </w:r>
            <w:r w:rsidR="00C9679A" w:rsidRPr="00A44507">
              <w:rPr>
                <w:sz w:val="24"/>
                <w:szCs w:val="24"/>
              </w:rPr>
              <w:t>3</w:t>
            </w:r>
            <w:r w:rsidRPr="00A44507">
              <w:rPr>
                <w:sz w:val="24"/>
                <w:szCs w:val="24"/>
              </w:rPr>
              <w:t>» апреля 2023 года включительно.</w:t>
            </w:r>
          </w:p>
          <w:p w14:paraId="3D235ED5" w14:textId="77777777" w:rsidR="00571F89" w:rsidRPr="00A44507" w:rsidRDefault="00571F89" w:rsidP="00AF5BB4">
            <w:pPr>
              <w:jc w:val="both"/>
              <w:rPr>
                <w:i/>
                <w:sz w:val="24"/>
                <w:szCs w:val="24"/>
              </w:rPr>
            </w:pPr>
            <w:r w:rsidRPr="00A44507">
              <w:rPr>
                <w:sz w:val="24"/>
                <w:szCs w:val="24"/>
              </w:rPr>
              <w:t xml:space="preserve">Просим направить Уведомление об акцепте данной оферты по следующим координатам: для передачи по электронной почте: </w:t>
            </w:r>
            <w:r w:rsidRPr="00A44507">
              <w:rPr>
                <w:i/>
                <w:sz w:val="24"/>
                <w:szCs w:val="24"/>
              </w:rPr>
              <w:t>[укажите электронный адрес ответственного сотрудника Вашего офиса]</w:t>
            </w:r>
          </w:p>
          <w:p w14:paraId="10F9F94F" w14:textId="77777777" w:rsidR="00571F89" w:rsidRPr="00A44507" w:rsidRDefault="00571F89" w:rsidP="00AF5BB4">
            <w:pPr>
              <w:jc w:val="both"/>
              <w:rPr>
                <w:b/>
                <w:sz w:val="24"/>
                <w:szCs w:val="24"/>
              </w:rPr>
            </w:pPr>
          </w:p>
          <w:p w14:paraId="60DDFCB3" w14:textId="77777777" w:rsidR="00571F89" w:rsidRPr="00A44507" w:rsidRDefault="00571F89" w:rsidP="00AF5BB4">
            <w:pPr>
              <w:jc w:val="both"/>
              <w:rPr>
                <w:sz w:val="24"/>
                <w:szCs w:val="24"/>
              </w:rPr>
            </w:pPr>
            <w:r w:rsidRPr="00A44507">
              <w:rPr>
                <w:sz w:val="24"/>
                <w:szCs w:val="24"/>
              </w:rPr>
              <w:t>С уважением,</w:t>
            </w:r>
          </w:p>
          <w:p w14:paraId="3F34574A" w14:textId="77777777" w:rsidR="00571F89" w:rsidRPr="00A44507" w:rsidRDefault="00571F89" w:rsidP="00AF5BB4">
            <w:pPr>
              <w:jc w:val="both"/>
              <w:rPr>
                <w:sz w:val="24"/>
                <w:szCs w:val="24"/>
              </w:rPr>
            </w:pPr>
            <w:r w:rsidRPr="00A44507">
              <w:rPr>
                <w:sz w:val="24"/>
                <w:szCs w:val="24"/>
              </w:rPr>
              <w:t>__________________</w:t>
            </w:r>
          </w:p>
          <w:p w14:paraId="560579D0" w14:textId="77777777" w:rsidR="00571F89" w:rsidRPr="00A44507" w:rsidRDefault="00571F89" w:rsidP="00AF5BB4">
            <w:pPr>
              <w:jc w:val="both"/>
              <w:rPr>
                <w:sz w:val="24"/>
                <w:szCs w:val="24"/>
              </w:rPr>
            </w:pPr>
            <w:r w:rsidRPr="00A44507">
              <w:rPr>
                <w:sz w:val="24"/>
                <w:szCs w:val="24"/>
              </w:rPr>
              <w:t>Имя:</w:t>
            </w:r>
          </w:p>
          <w:p w14:paraId="2B1F08CA" w14:textId="77777777" w:rsidR="00571F89" w:rsidRPr="00A44507" w:rsidRDefault="00571F89" w:rsidP="00AF5BB4">
            <w:pPr>
              <w:jc w:val="both"/>
              <w:rPr>
                <w:sz w:val="24"/>
                <w:szCs w:val="24"/>
              </w:rPr>
            </w:pPr>
            <w:r w:rsidRPr="00A44507">
              <w:rPr>
                <w:sz w:val="24"/>
                <w:szCs w:val="24"/>
              </w:rPr>
              <w:t>Должность:</w:t>
            </w:r>
          </w:p>
          <w:p w14:paraId="60A0FA42" w14:textId="77777777" w:rsidR="00571F89" w:rsidRPr="00A44507" w:rsidRDefault="00571F89" w:rsidP="00AF5BB4">
            <w:pPr>
              <w:jc w:val="both"/>
              <w:rPr>
                <w:sz w:val="24"/>
                <w:szCs w:val="24"/>
              </w:rPr>
            </w:pPr>
            <w:r w:rsidRPr="00A44507">
              <w:rPr>
                <w:sz w:val="24"/>
                <w:szCs w:val="24"/>
              </w:rPr>
              <w:t>М.П.</w:t>
            </w:r>
          </w:p>
          <w:p w14:paraId="1AAD9DC1" w14:textId="77777777" w:rsidR="00571F89" w:rsidRPr="00A44507" w:rsidRDefault="00571F89" w:rsidP="00AF5BB4">
            <w:pPr>
              <w:jc w:val="both"/>
            </w:pPr>
          </w:p>
          <w:p w14:paraId="1189BE8C" w14:textId="5890E7DF" w:rsidR="00571F89" w:rsidRPr="00A44507" w:rsidRDefault="00571F89" w:rsidP="00AF5BB4">
            <w:pPr>
              <w:jc w:val="both"/>
            </w:pPr>
            <w:r w:rsidRPr="00A44507">
              <w:t xml:space="preserve">* Данная сумма не включает расходы, связанные с приобретением Биржевых облигаций </w:t>
            </w:r>
            <w:r w:rsidRPr="00A44507">
              <w:rPr>
                <w:color w:val="000000" w:themeColor="text1"/>
              </w:rPr>
              <w:t xml:space="preserve">серии БО-П01-CNY </w:t>
            </w:r>
            <w:r w:rsidRPr="00A44507">
              <w:t>и проведением расчетов.</w:t>
            </w:r>
          </w:p>
          <w:p w14:paraId="604B3CD1" w14:textId="69FD88A8" w:rsidR="008A6FE6" w:rsidRPr="00A44507" w:rsidRDefault="008A6FE6" w:rsidP="008A6FE6">
            <w:pPr>
              <w:jc w:val="both"/>
            </w:pPr>
            <w:r w:rsidRPr="00A44507">
              <w:t>** Порядок определения размера второго-</w:t>
            </w:r>
            <w:r w:rsidR="00F55C5E">
              <w:t>двенадцатого</w:t>
            </w:r>
            <w:r w:rsidRPr="00A44507">
              <w:t xml:space="preserve"> купонов по Биржевым облигациям серии БО-П01-CNY:</w:t>
            </w:r>
          </w:p>
          <w:p w14:paraId="41691596" w14:textId="77777777" w:rsidR="008A6FE6" w:rsidRPr="00A44507" w:rsidRDefault="008A6FE6" w:rsidP="008A6FE6">
            <w:pPr>
              <w:jc w:val="both"/>
            </w:pPr>
            <w:r w:rsidRPr="00A44507">
              <w:lastRenderedPageBreak/>
              <w:t>Ci = LPR1Y + премия, где:</w:t>
            </w:r>
          </w:p>
          <w:p w14:paraId="776DF866" w14:textId="77777777" w:rsidR="008A6FE6" w:rsidRPr="00A44507" w:rsidRDefault="008A6FE6" w:rsidP="008A6FE6">
            <w:pPr>
              <w:jc w:val="both"/>
            </w:pPr>
            <w:r w:rsidRPr="00A44507">
              <w:t>Ci – процентная ставка i-го купона при i=2,….,12 (в % годовых);</w:t>
            </w:r>
          </w:p>
          <w:p w14:paraId="50DF6A3F" w14:textId="77777777" w:rsidR="008A6FE6" w:rsidRPr="00A44507" w:rsidRDefault="008A6FE6" w:rsidP="008A6FE6">
            <w:pPr>
              <w:jc w:val="both"/>
            </w:pPr>
            <w:r w:rsidRPr="00A44507">
              <w:t>LPR1Y – равняется ставке Loan Prime Rate (LPR) на срок 1 (один) год, установленной и действующей в 5 (пятый) рабочий день до даты начала i-того купонного периода (далее – Дата определения ставки).</w:t>
            </w:r>
          </w:p>
          <w:p w14:paraId="25FBE335" w14:textId="77777777" w:rsidR="008A6FE6" w:rsidRPr="00A44507" w:rsidRDefault="008A6FE6" w:rsidP="008A6FE6">
            <w:pPr>
              <w:jc w:val="both"/>
            </w:pPr>
            <w:r w:rsidRPr="00A44507">
              <w:t xml:space="preserve">Loan Prime Rate – процентная ставка Национального Межбанковского Центра Фондирования (National Interbank Funding Center (NIFC)), публикуемая на </w:t>
            </w:r>
            <w:hyperlink r:id="rId10" w:history="1">
              <w:r w:rsidRPr="00A44507">
                <w:t>https://www.chinamoney.com.cn/chinese/bklpr/</w:t>
              </w:r>
            </w:hyperlink>
            <w:r w:rsidRPr="00A44507">
              <w:t>.</w:t>
            </w:r>
          </w:p>
          <w:p w14:paraId="4B482672" w14:textId="77777777" w:rsidR="008A6FE6" w:rsidRPr="00A44507" w:rsidRDefault="008A6FE6" w:rsidP="008A6FE6">
            <w:pPr>
              <w:jc w:val="both"/>
            </w:pPr>
            <w:r w:rsidRPr="00A44507">
              <w:t>Размер процента (купона) на каждый купонный период устанавливается в процентах годовых с точностью до сотой доли процента (округление производится по правилам математического округления).</w:t>
            </w:r>
          </w:p>
          <w:p w14:paraId="29F7B41D" w14:textId="77777777" w:rsidR="008A6FE6" w:rsidRPr="00A44507" w:rsidRDefault="008A6FE6" w:rsidP="008A6FE6">
            <w:pPr>
              <w:jc w:val="both"/>
            </w:pPr>
            <w:r w:rsidRPr="00A44507">
              <w:t>В случае, если на Дату определения ставки i-того купона ставка LPR1Y не определена, тогда значение ставки LPR1Y принимается равным последнему опубликованному значению.</w:t>
            </w:r>
          </w:p>
          <w:p w14:paraId="1EC58811" w14:textId="77777777" w:rsidR="008A6FE6" w:rsidRPr="00A44507" w:rsidRDefault="008A6FE6" w:rsidP="008A6FE6">
            <w:pPr>
              <w:jc w:val="both"/>
            </w:pPr>
            <w:r w:rsidRPr="00A44507">
              <w:t>В случае, если на Дату определения ставки i-того купона значение ставки LPR1Y составляет менее 0 (ноля) % годовых, тогда значение ставки LPR1Y принимается равным 0 (нулю) % годовых.</w:t>
            </w:r>
          </w:p>
          <w:p w14:paraId="45FD67CC" w14:textId="2564DA21" w:rsidR="009E4DC6" w:rsidRPr="00A44507" w:rsidRDefault="009E4DC6" w:rsidP="00AF5BB4">
            <w:pPr>
              <w:adjustRightInd w:val="0"/>
              <w:spacing w:before="200"/>
              <w:jc w:val="both"/>
              <w:outlineLvl w:val="3"/>
              <w:rPr>
                <w:sz w:val="22"/>
                <w:szCs w:val="22"/>
              </w:rPr>
            </w:pPr>
            <w:r w:rsidRPr="00A44507">
              <w:rPr>
                <w:sz w:val="22"/>
                <w:szCs w:val="22"/>
              </w:rPr>
              <w:t xml:space="preserve">2.4. В </w:t>
            </w:r>
            <w:r w:rsidR="00A334E9" w:rsidRPr="00A44507">
              <w:rPr>
                <w:sz w:val="22"/>
                <w:szCs w:val="22"/>
              </w:rPr>
              <w:t>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Pr="00A44507">
              <w:rPr>
                <w:sz w:val="22"/>
                <w:szCs w:val="22"/>
              </w:rPr>
              <w:t xml:space="preserve">: </w:t>
            </w:r>
          </w:p>
          <w:p w14:paraId="01A4A949" w14:textId="13EDDAF9" w:rsidR="00A44507" w:rsidRPr="00A44507" w:rsidRDefault="009E4DC6" w:rsidP="00A44507">
            <w:pPr>
              <w:adjustRightInd w:val="0"/>
              <w:jc w:val="both"/>
              <w:outlineLvl w:val="3"/>
              <w:rPr>
                <w:b/>
                <w:bCs/>
                <w:i/>
                <w:sz w:val="22"/>
                <w:szCs w:val="22"/>
              </w:rPr>
            </w:pPr>
            <w:r w:rsidRPr="00A44507">
              <w:rPr>
                <w:b/>
                <w:i/>
                <w:sz w:val="22"/>
                <w:szCs w:val="22"/>
              </w:rPr>
              <w:t>биржевые облигации бездокументарные процентные неконвертируемые ПАО «ФосАгро» с централизованным учетом прав серии БО-П01-CNY, номинальной стоимостью 1 000 (Одна тысяча) китайских юаней каждая, размещаемые по открытой подписке в рамках Программы биржевых облигаций, имеющей идентификационный номер 4-06556-А-001Р-02Е от 27.11.2015., пр</w:t>
            </w:r>
            <w:r w:rsidR="00A44507" w:rsidRPr="00A44507">
              <w:rPr>
                <w:b/>
                <w:i/>
                <w:sz w:val="22"/>
                <w:szCs w:val="22"/>
              </w:rPr>
              <w:t>исвоенный ПАО Московская Биржа. Регистрационный номер выпуска и м</w:t>
            </w:r>
            <w:r w:rsidR="00A44507" w:rsidRPr="00A44507">
              <w:rPr>
                <w:b/>
                <w:bCs/>
                <w:i/>
                <w:sz w:val="22"/>
                <w:szCs w:val="22"/>
              </w:rPr>
              <w:t xml:space="preserve">еждународный код (номер) идентификации ценных бумаг (ISIN): </w:t>
            </w:r>
            <w:r w:rsidR="00A44507" w:rsidRPr="00A44507">
              <w:rPr>
                <w:b/>
                <w:bCs/>
                <w:i/>
                <w:color w:val="000000"/>
                <w:sz w:val="22"/>
                <w:szCs w:val="22"/>
                <w:shd w:val="clear" w:color="auto" w:fill="FFFFFF"/>
              </w:rPr>
              <w:t>не присвоены на дату раскрытия настоящего сообщения</w:t>
            </w:r>
            <w:r w:rsidR="00A44507" w:rsidRPr="00A44507">
              <w:rPr>
                <w:b/>
                <w:bCs/>
                <w:i/>
                <w:sz w:val="22"/>
                <w:szCs w:val="22"/>
              </w:rPr>
              <w:t>.</w:t>
            </w:r>
          </w:p>
          <w:p w14:paraId="0931CEA3" w14:textId="15108FE6" w:rsidR="00B07859" w:rsidRPr="00A44507" w:rsidRDefault="009E4DC6" w:rsidP="00AF5BB4">
            <w:pPr>
              <w:spacing w:before="200"/>
              <w:ind w:right="57"/>
              <w:jc w:val="both"/>
              <w:rPr>
                <w:sz w:val="22"/>
                <w:szCs w:val="22"/>
              </w:rPr>
            </w:pPr>
            <w:r w:rsidRPr="00A44507">
              <w:rPr>
                <w:sz w:val="22"/>
                <w:szCs w:val="22"/>
              </w:rPr>
              <w:t xml:space="preserve">2.5. Дата </w:t>
            </w:r>
            <w:r w:rsidR="00A334E9" w:rsidRPr="00A44507">
              <w:rPr>
                <w:sz w:val="22"/>
                <w:szCs w:val="22"/>
              </w:rPr>
              <w:t>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w:t>
            </w:r>
            <w:r w:rsidRPr="00A44507">
              <w:rPr>
                <w:sz w:val="22"/>
                <w:szCs w:val="22"/>
              </w:rPr>
              <w:t xml:space="preserve">: </w:t>
            </w:r>
            <w:r w:rsidR="00A74217" w:rsidRPr="00A44507">
              <w:rPr>
                <w:b/>
                <w:bCs/>
                <w:i/>
                <w:sz w:val="22"/>
                <w:szCs w:val="22"/>
              </w:rPr>
              <w:t>10</w:t>
            </w:r>
            <w:r w:rsidRPr="00A44507">
              <w:rPr>
                <w:b/>
                <w:bCs/>
                <w:i/>
                <w:sz w:val="22"/>
                <w:szCs w:val="22"/>
              </w:rPr>
              <w:t>.04.2023.</w:t>
            </w:r>
          </w:p>
        </w:tc>
      </w:tr>
      <w:tr w:rsidR="009E4DC6" w:rsidRPr="00AF5BB4" w14:paraId="4A3DE574" w14:textId="77777777" w:rsidTr="00EB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13" w:type="dxa"/>
          <w:cantSplit/>
          <w:trHeight w:val="50"/>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467D2694" w14:textId="77777777" w:rsidR="009E4DC6" w:rsidRPr="00A44507" w:rsidRDefault="009E4DC6">
            <w:pPr>
              <w:keepNext/>
              <w:keepLines/>
              <w:jc w:val="center"/>
              <w:rPr>
                <w:sz w:val="22"/>
                <w:szCs w:val="22"/>
              </w:rPr>
            </w:pPr>
            <w:r w:rsidRPr="00A44507">
              <w:rPr>
                <w:sz w:val="22"/>
                <w:szCs w:val="22"/>
              </w:rPr>
              <w:lastRenderedPageBreak/>
              <w:t>3. Подпись</w:t>
            </w:r>
          </w:p>
        </w:tc>
      </w:tr>
      <w:tr w:rsidR="004E3184" w:rsidRPr="00AF5BB4" w14:paraId="5F9F3BE5" w14:textId="77777777" w:rsidTr="001A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13" w:type="dxa"/>
          <w:cantSplit/>
          <w:trHeight w:val="61"/>
        </w:trPr>
        <w:tc>
          <w:tcPr>
            <w:tcW w:w="5819" w:type="dxa"/>
            <w:gridSpan w:val="2"/>
            <w:vMerge w:val="restart"/>
            <w:tcBorders>
              <w:top w:val="nil"/>
              <w:left w:val="single" w:sz="4" w:space="0" w:color="auto"/>
              <w:bottom w:val="nil"/>
              <w:right w:val="nil"/>
            </w:tcBorders>
            <w:vAlign w:val="bottom"/>
            <w:hideMark/>
          </w:tcPr>
          <w:p w14:paraId="156B16AA" w14:textId="77777777" w:rsidR="004E3184" w:rsidRDefault="004E3184" w:rsidP="004E3184">
            <w:pPr>
              <w:jc w:val="both"/>
              <w:rPr>
                <w:sz w:val="24"/>
                <w:szCs w:val="24"/>
                <w:shd w:val="clear" w:color="auto" w:fill="FFFFFF"/>
              </w:rPr>
            </w:pPr>
            <w:r w:rsidRPr="00C11024">
              <w:rPr>
                <w:sz w:val="24"/>
                <w:szCs w:val="24"/>
              </w:rPr>
              <w:t xml:space="preserve">3.1. </w:t>
            </w:r>
            <w:r w:rsidRPr="00C11024">
              <w:rPr>
                <w:sz w:val="24"/>
                <w:szCs w:val="24"/>
                <w:shd w:val="clear" w:color="auto" w:fill="FFFFFF"/>
              </w:rPr>
              <w:t>Заместитель генерального директора ПАО «ФосАгро» по корпоративным и правовым вопросам</w:t>
            </w:r>
          </w:p>
          <w:p w14:paraId="2279A3DA" w14:textId="77777777" w:rsidR="004E3184" w:rsidRPr="00A44507" w:rsidRDefault="004E3184" w:rsidP="004E3184">
            <w:pPr>
              <w:keepNext/>
              <w:keepLines/>
              <w:jc w:val="both"/>
              <w:rPr>
                <w:sz w:val="22"/>
                <w:szCs w:val="22"/>
              </w:rPr>
            </w:pPr>
            <w:r w:rsidRPr="00120469">
              <w:rPr>
                <w:sz w:val="24"/>
                <w:szCs w:val="24"/>
              </w:rPr>
              <w:t>(Доверенность б/н от 22.03.2022 г.)</w:t>
            </w:r>
          </w:p>
          <w:p w14:paraId="439861AA" w14:textId="6C3AAFDD" w:rsidR="004E3184" w:rsidRPr="00A44507" w:rsidRDefault="004E3184" w:rsidP="004E3184">
            <w:pPr>
              <w:keepNext/>
              <w:keepLines/>
              <w:jc w:val="both"/>
              <w:rPr>
                <w:sz w:val="22"/>
                <w:szCs w:val="22"/>
              </w:rPr>
            </w:pPr>
          </w:p>
        </w:tc>
        <w:tc>
          <w:tcPr>
            <w:tcW w:w="2469" w:type="dxa"/>
            <w:tcBorders>
              <w:top w:val="nil"/>
              <w:left w:val="nil"/>
              <w:bottom w:val="single" w:sz="4" w:space="0" w:color="auto"/>
              <w:right w:val="nil"/>
            </w:tcBorders>
            <w:vAlign w:val="bottom"/>
          </w:tcPr>
          <w:p w14:paraId="47E79E62" w14:textId="77777777" w:rsidR="004E3184" w:rsidRPr="00A44507" w:rsidRDefault="004E3184" w:rsidP="004E3184">
            <w:pPr>
              <w:keepNext/>
              <w:keepLines/>
              <w:rPr>
                <w:sz w:val="22"/>
                <w:szCs w:val="22"/>
              </w:rPr>
            </w:pPr>
          </w:p>
        </w:tc>
        <w:tc>
          <w:tcPr>
            <w:tcW w:w="21" w:type="dxa"/>
            <w:tcBorders>
              <w:top w:val="nil"/>
              <w:left w:val="nil"/>
              <w:bottom w:val="nil"/>
              <w:right w:val="nil"/>
            </w:tcBorders>
            <w:vAlign w:val="bottom"/>
          </w:tcPr>
          <w:p w14:paraId="1BB3F776" w14:textId="77777777" w:rsidR="004E3184" w:rsidRPr="00A44507" w:rsidRDefault="004E3184" w:rsidP="004E3184">
            <w:pPr>
              <w:keepNext/>
              <w:keepLines/>
              <w:jc w:val="center"/>
              <w:rPr>
                <w:sz w:val="22"/>
                <w:szCs w:val="22"/>
              </w:rPr>
            </w:pPr>
          </w:p>
        </w:tc>
        <w:tc>
          <w:tcPr>
            <w:tcW w:w="2176" w:type="dxa"/>
            <w:tcBorders>
              <w:top w:val="nil"/>
              <w:left w:val="nil"/>
              <w:bottom w:val="nil"/>
              <w:right w:val="single" w:sz="4" w:space="0" w:color="auto"/>
            </w:tcBorders>
            <w:vAlign w:val="bottom"/>
            <w:hideMark/>
          </w:tcPr>
          <w:p w14:paraId="622925E2" w14:textId="79A93A9E" w:rsidR="004E3184" w:rsidRPr="00A44507" w:rsidRDefault="004E3184" w:rsidP="004E3184">
            <w:pPr>
              <w:keepNext/>
              <w:keepLines/>
              <w:jc w:val="center"/>
              <w:rPr>
                <w:sz w:val="22"/>
                <w:szCs w:val="22"/>
              </w:rPr>
            </w:pPr>
            <w:r w:rsidRPr="00C11024">
              <w:rPr>
                <w:sz w:val="24"/>
                <w:szCs w:val="24"/>
                <w:shd w:val="clear" w:color="auto" w:fill="FFFFFF"/>
              </w:rPr>
              <w:t>А.А. Сиротенко</w:t>
            </w:r>
          </w:p>
        </w:tc>
      </w:tr>
      <w:tr w:rsidR="004E3184" w:rsidRPr="00AF5BB4" w14:paraId="3430CB3B" w14:textId="77777777" w:rsidTr="001A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13" w:type="dxa"/>
          <w:cantSplit/>
          <w:trHeight w:val="70"/>
        </w:trPr>
        <w:tc>
          <w:tcPr>
            <w:tcW w:w="5819" w:type="dxa"/>
            <w:gridSpan w:val="2"/>
            <w:vMerge/>
            <w:tcBorders>
              <w:top w:val="nil"/>
              <w:left w:val="single" w:sz="4" w:space="0" w:color="auto"/>
              <w:bottom w:val="nil"/>
              <w:right w:val="nil"/>
            </w:tcBorders>
            <w:hideMark/>
          </w:tcPr>
          <w:p w14:paraId="7AC9B680" w14:textId="77777777" w:rsidR="004E3184" w:rsidRPr="00A44507" w:rsidRDefault="004E3184" w:rsidP="004E3184">
            <w:pPr>
              <w:autoSpaceDE/>
              <w:autoSpaceDN/>
              <w:rPr>
                <w:sz w:val="22"/>
                <w:szCs w:val="22"/>
              </w:rPr>
            </w:pPr>
          </w:p>
        </w:tc>
        <w:tc>
          <w:tcPr>
            <w:tcW w:w="2469" w:type="dxa"/>
            <w:tcBorders>
              <w:top w:val="nil"/>
              <w:left w:val="nil"/>
              <w:bottom w:val="nil"/>
              <w:right w:val="nil"/>
            </w:tcBorders>
            <w:hideMark/>
          </w:tcPr>
          <w:p w14:paraId="276B4570" w14:textId="36A0C8CA" w:rsidR="004E3184" w:rsidRPr="00A44507" w:rsidRDefault="004E3184" w:rsidP="004E3184">
            <w:pPr>
              <w:keepNext/>
              <w:keepLines/>
              <w:jc w:val="center"/>
              <w:rPr>
                <w:sz w:val="22"/>
                <w:szCs w:val="22"/>
              </w:rPr>
            </w:pPr>
            <w:r w:rsidRPr="00C11024">
              <w:rPr>
                <w:sz w:val="24"/>
                <w:szCs w:val="24"/>
              </w:rPr>
              <w:t>(подпись)</w:t>
            </w:r>
          </w:p>
        </w:tc>
        <w:tc>
          <w:tcPr>
            <w:tcW w:w="21" w:type="dxa"/>
            <w:tcBorders>
              <w:top w:val="nil"/>
              <w:left w:val="nil"/>
              <w:bottom w:val="nil"/>
              <w:right w:val="nil"/>
            </w:tcBorders>
          </w:tcPr>
          <w:p w14:paraId="595393C1" w14:textId="77777777" w:rsidR="004E3184" w:rsidRPr="00A44507" w:rsidRDefault="004E3184" w:rsidP="004E3184">
            <w:pPr>
              <w:keepNext/>
              <w:keepLines/>
              <w:jc w:val="center"/>
              <w:rPr>
                <w:sz w:val="22"/>
                <w:szCs w:val="22"/>
              </w:rPr>
            </w:pPr>
          </w:p>
        </w:tc>
        <w:tc>
          <w:tcPr>
            <w:tcW w:w="2176" w:type="dxa"/>
            <w:tcBorders>
              <w:top w:val="nil"/>
              <w:left w:val="nil"/>
              <w:bottom w:val="nil"/>
              <w:right w:val="single" w:sz="4" w:space="0" w:color="auto"/>
            </w:tcBorders>
          </w:tcPr>
          <w:p w14:paraId="76584A8C" w14:textId="77777777" w:rsidR="004E3184" w:rsidRPr="00A44507" w:rsidRDefault="004E3184" w:rsidP="004E3184">
            <w:pPr>
              <w:keepNext/>
              <w:keepLines/>
              <w:jc w:val="center"/>
              <w:rPr>
                <w:sz w:val="22"/>
                <w:szCs w:val="22"/>
              </w:rPr>
            </w:pPr>
          </w:p>
        </w:tc>
      </w:tr>
      <w:tr w:rsidR="009E4DC6" w:rsidRPr="00AF5BB4" w14:paraId="1CE35C55" w14:textId="77777777" w:rsidTr="00EB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13" w:type="dxa"/>
          <w:trHeight w:val="81"/>
        </w:trPr>
        <w:tc>
          <w:tcPr>
            <w:tcW w:w="10485" w:type="dxa"/>
            <w:gridSpan w:val="5"/>
            <w:tcBorders>
              <w:top w:val="nil"/>
              <w:left w:val="single" w:sz="4" w:space="0" w:color="auto"/>
              <w:bottom w:val="nil"/>
              <w:right w:val="single" w:sz="4" w:space="0" w:color="auto"/>
            </w:tcBorders>
            <w:vAlign w:val="bottom"/>
            <w:hideMark/>
          </w:tcPr>
          <w:p w14:paraId="4EF15F57" w14:textId="0464D41A" w:rsidR="009E4DC6" w:rsidRPr="00A44507" w:rsidRDefault="00AF5BB4">
            <w:pPr>
              <w:keepNext/>
              <w:keepLines/>
              <w:tabs>
                <w:tab w:val="right" w:pos="1091"/>
              </w:tabs>
              <w:rPr>
                <w:sz w:val="22"/>
                <w:szCs w:val="22"/>
              </w:rPr>
            </w:pPr>
            <w:r w:rsidRPr="00A44507">
              <w:rPr>
                <w:sz w:val="22"/>
                <w:szCs w:val="22"/>
              </w:rPr>
              <w:t>3.2. Дата «10</w:t>
            </w:r>
            <w:r w:rsidR="009E4DC6" w:rsidRPr="00A44507">
              <w:rPr>
                <w:sz w:val="22"/>
                <w:szCs w:val="22"/>
              </w:rPr>
              <w:t>» апреля</w:t>
            </w:r>
            <w:r w:rsidR="009E4DC6" w:rsidRPr="00A44507">
              <w:rPr>
                <w:b/>
                <w:bCs/>
                <w:sz w:val="22"/>
                <w:szCs w:val="22"/>
              </w:rPr>
              <w:t xml:space="preserve"> </w:t>
            </w:r>
            <w:r w:rsidR="009E4DC6" w:rsidRPr="00A44507">
              <w:rPr>
                <w:sz w:val="22"/>
                <w:szCs w:val="22"/>
              </w:rPr>
              <w:t>2023 г.</w:t>
            </w:r>
            <w:r w:rsidR="009E4DC6" w:rsidRPr="00A44507">
              <w:rPr>
                <w:sz w:val="22"/>
                <w:szCs w:val="22"/>
              </w:rPr>
              <w:tab/>
              <w:t xml:space="preserve">                   М.П.</w:t>
            </w:r>
          </w:p>
        </w:tc>
      </w:tr>
      <w:tr w:rsidR="009E4DC6" w:rsidRPr="00605F54" w14:paraId="68EE4F24" w14:textId="77777777" w:rsidTr="00EB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13" w:type="dxa"/>
          <w:trHeight w:val="80"/>
        </w:trPr>
        <w:tc>
          <w:tcPr>
            <w:tcW w:w="10485" w:type="dxa"/>
            <w:gridSpan w:val="5"/>
            <w:tcBorders>
              <w:top w:val="nil"/>
              <w:left w:val="single" w:sz="4" w:space="0" w:color="auto"/>
              <w:bottom w:val="single" w:sz="4" w:space="0" w:color="auto"/>
              <w:right w:val="single" w:sz="4" w:space="0" w:color="auto"/>
            </w:tcBorders>
            <w:vAlign w:val="bottom"/>
          </w:tcPr>
          <w:p w14:paraId="5959E68B" w14:textId="77777777" w:rsidR="009E4DC6" w:rsidRPr="00AF5BB4" w:rsidRDefault="009E4DC6">
            <w:pPr>
              <w:keepNext/>
              <w:keepLines/>
              <w:rPr>
                <w:rFonts w:asciiTheme="minorHAnsi" w:hAnsiTheme="minorHAnsi" w:cstheme="minorBidi"/>
                <w:sz w:val="22"/>
                <w:szCs w:val="22"/>
              </w:rPr>
            </w:pPr>
          </w:p>
        </w:tc>
      </w:tr>
    </w:tbl>
    <w:p w14:paraId="195F0075" w14:textId="77777777" w:rsidR="009E4DC6" w:rsidRPr="00605F54" w:rsidRDefault="009E4DC6" w:rsidP="009E4DC6">
      <w:pPr>
        <w:jc w:val="both"/>
        <w:rPr>
          <w:sz w:val="22"/>
          <w:szCs w:val="22"/>
          <w:lang w:eastAsia="en-US"/>
        </w:rPr>
      </w:pPr>
    </w:p>
    <w:p w14:paraId="38C5D766" w14:textId="57043D39" w:rsidR="001C1875" w:rsidRPr="00605F54" w:rsidRDefault="001C1875" w:rsidP="00571F89">
      <w:pPr>
        <w:rPr>
          <w:sz w:val="22"/>
          <w:szCs w:val="22"/>
        </w:rPr>
      </w:pPr>
    </w:p>
    <w:sectPr w:rsidR="001C1875" w:rsidRPr="00605F54" w:rsidSect="00E86572">
      <w:pgSz w:w="11906" w:h="16838"/>
      <w:pgMar w:top="284" w:right="567" w:bottom="142" w:left="851" w:header="397"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633B3" w14:textId="77777777" w:rsidR="00A334E9" w:rsidRDefault="00A334E9">
      <w:r>
        <w:separator/>
      </w:r>
    </w:p>
  </w:endnote>
  <w:endnote w:type="continuationSeparator" w:id="0">
    <w:p w14:paraId="2B5D1DBA" w14:textId="77777777" w:rsidR="00A334E9" w:rsidRDefault="00A3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75F47" w14:textId="77777777" w:rsidR="00A334E9" w:rsidRDefault="00A334E9">
      <w:r>
        <w:separator/>
      </w:r>
    </w:p>
  </w:footnote>
  <w:footnote w:type="continuationSeparator" w:id="0">
    <w:p w14:paraId="5E9DD44F" w14:textId="77777777" w:rsidR="00A334E9" w:rsidRDefault="00A33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2D8"/>
    <w:multiLevelType w:val="hybridMultilevel"/>
    <w:tmpl w:val="D5966FCC"/>
    <w:lvl w:ilvl="0" w:tplc="5F328674">
      <w:start w:val="1"/>
      <w:numFmt w:val="decimal"/>
      <w:lvlText w:val="%1."/>
      <w:lvlJc w:val="left"/>
      <w:pPr>
        <w:tabs>
          <w:tab w:val="num" w:pos="1211"/>
        </w:tabs>
        <w:ind w:left="1211" w:hanging="360"/>
      </w:pPr>
      <w:rPr>
        <w:sz w:val="24"/>
        <w:szCs w:val="24"/>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15:restartNumberingAfterBreak="0">
    <w:nsid w:val="09676096"/>
    <w:multiLevelType w:val="multilevel"/>
    <w:tmpl w:val="6B38B8B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9B7B7E"/>
    <w:multiLevelType w:val="hybridMultilevel"/>
    <w:tmpl w:val="B266619C"/>
    <w:lvl w:ilvl="0" w:tplc="046634E6">
      <w:start w:val="1"/>
      <w:numFmt w:val="bullet"/>
      <w:lvlText w:val="-"/>
      <w:lvlJc w:val="left"/>
      <w:pPr>
        <w:ind w:left="1429" w:hanging="360"/>
      </w:pPr>
      <w:rPr>
        <w:rFonts w:ascii="Book Antiqua" w:hAnsi="Book Antiqu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64"/>
    <w:rsid w:val="000014C1"/>
    <w:rsid w:val="00004FC8"/>
    <w:rsid w:val="000068F0"/>
    <w:rsid w:val="00010402"/>
    <w:rsid w:val="0001254A"/>
    <w:rsid w:val="00013212"/>
    <w:rsid w:val="000137CB"/>
    <w:rsid w:val="00014315"/>
    <w:rsid w:val="00015CE7"/>
    <w:rsid w:val="00025D17"/>
    <w:rsid w:val="00030773"/>
    <w:rsid w:val="00030FE1"/>
    <w:rsid w:val="00031B0B"/>
    <w:rsid w:val="00035D4C"/>
    <w:rsid w:val="00040AA3"/>
    <w:rsid w:val="000444A0"/>
    <w:rsid w:val="000451A7"/>
    <w:rsid w:val="00063B79"/>
    <w:rsid w:val="00063F80"/>
    <w:rsid w:val="00067254"/>
    <w:rsid w:val="00067E25"/>
    <w:rsid w:val="00081D49"/>
    <w:rsid w:val="000854E5"/>
    <w:rsid w:val="0009158A"/>
    <w:rsid w:val="000968F3"/>
    <w:rsid w:val="000A0F6E"/>
    <w:rsid w:val="000B685B"/>
    <w:rsid w:val="000E63B8"/>
    <w:rsid w:val="000F0892"/>
    <w:rsid w:val="000F3E6B"/>
    <w:rsid w:val="001003E1"/>
    <w:rsid w:val="00110784"/>
    <w:rsid w:val="00121FFB"/>
    <w:rsid w:val="001229C9"/>
    <w:rsid w:val="00125F67"/>
    <w:rsid w:val="00126632"/>
    <w:rsid w:val="0014664F"/>
    <w:rsid w:val="0015119E"/>
    <w:rsid w:val="001540F2"/>
    <w:rsid w:val="00167599"/>
    <w:rsid w:val="00182C1D"/>
    <w:rsid w:val="00187A5F"/>
    <w:rsid w:val="00195057"/>
    <w:rsid w:val="001A286E"/>
    <w:rsid w:val="001A2F3B"/>
    <w:rsid w:val="001B234D"/>
    <w:rsid w:val="001B6B30"/>
    <w:rsid w:val="001B79D5"/>
    <w:rsid w:val="001C0579"/>
    <w:rsid w:val="001C0DD1"/>
    <w:rsid w:val="001C1259"/>
    <w:rsid w:val="001C1875"/>
    <w:rsid w:val="001C1CDD"/>
    <w:rsid w:val="001C210C"/>
    <w:rsid w:val="001C28BE"/>
    <w:rsid w:val="001D44CC"/>
    <w:rsid w:val="001D5850"/>
    <w:rsid w:val="001E0D00"/>
    <w:rsid w:val="001E5B3A"/>
    <w:rsid w:val="00200E2E"/>
    <w:rsid w:val="00202EBD"/>
    <w:rsid w:val="00203FDB"/>
    <w:rsid w:val="0020490E"/>
    <w:rsid w:val="00211B28"/>
    <w:rsid w:val="00222F16"/>
    <w:rsid w:val="002235E3"/>
    <w:rsid w:val="00224A07"/>
    <w:rsid w:val="002308C3"/>
    <w:rsid w:val="00230F38"/>
    <w:rsid w:val="0024450A"/>
    <w:rsid w:val="00253FC3"/>
    <w:rsid w:val="00263E74"/>
    <w:rsid w:val="00267622"/>
    <w:rsid w:val="00287723"/>
    <w:rsid w:val="002A2FE5"/>
    <w:rsid w:val="002A4724"/>
    <w:rsid w:val="002A79E8"/>
    <w:rsid w:val="002B1142"/>
    <w:rsid w:val="002B1900"/>
    <w:rsid w:val="002B1D16"/>
    <w:rsid w:val="002B274D"/>
    <w:rsid w:val="002B4C90"/>
    <w:rsid w:val="002B668D"/>
    <w:rsid w:val="002C2340"/>
    <w:rsid w:val="002C574E"/>
    <w:rsid w:val="002C7C11"/>
    <w:rsid w:val="002D0940"/>
    <w:rsid w:val="002D269D"/>
    <w:rsid w:val="002D427E"/>
    <w:rsid w:val="002D5122"/>
    <w:rsid w:val="002D5572"/>
    <w:rsid w:val="002D6026"/>
    <w:rsid w:val="002F07DA"/>
    <w:rsid w:val="002F225D"/>
    <w:rsid w:val="00307E99"/>
    <w:rsid w:val="00310974"/>
    <w:rsid w:val="00313C04"/>
    <w:rsid w:val="00314C9B"/>
    <w:rsid w:val="00317EDD"/>
    <w:rsid w:val="00331762"/>
    <w:rsid w:val="0034028F"/>
    <w:rsid w:val="00347B57"/>
    <w:rsid w:val="00355A78"/>
    <w:rsid w:val="003560BC"/>
    <w:rsid w:val="00360855"/>
    <w:rsid w:val="00362874"/>
    <w:rsid w:val="003646A2"/>
    <w:rsid w:val="00370BA3"/>
    <w:rsid w:val="003713DD"/>
    <w:rsid w:val="00375A78"/>
    <w:rsid w:val="00380B42"/>
    <w:rsid w:val="00380CA2"/>
    <w:rsid w:val="00382A43"/>
    <w:rsid w:val="003A39B8"/>
    <w:rsid w:val="003A7CE8"/>
    <w:rsid w:val="003B07BE"/>
    <w:rsid w:val="003B1F43"/>
    <w:rsid w:val="003B55B0"/>
    <w:rsid w:val="003B6B33"/>
    <w:rsid w:val="003C5752"/>
    <w:rsid w:val="003E2F1C"/>
    <w:rsid w:val="003E7A89"/>
    <w:rsid w:val="003F5767"/>
    <w:rsid w:val="0040226A"/>
    <w:rsid w:val="004140D9"/>
    <w:rsid w:val="0041467A"/>
    <w:rsid w:val="00415C21"/>
    <w:rsid w:val="00417601"/>
    <w:rsid w:val="00422BD5"/>
    <w:rsid w:val="00423692"/>
    <w:rsid w:val="00433C4B"/>
    <w:rsid w:val="00434F77"/>
    <w:rsid w:val="00435AFC"/>
    <w:rsid w:val="004438AE"/>
    <w:rsid w:val="0045175D"/>
    <w:rsid w:val="00453152"/>
    <w:rsid w:val="0046330B"/>
    <w:rsid w:val="004642CE"/>
    <w:rsid w:val="00465723"/>
    <w:rsid w:val="0046787E"/>
    <w:rsid w:val="004810F9"/>
    <w:rsid w:val="00482179"/>
    <w:rsid w:val="004831C0"/>
    <w:rsid w:val="004850AD"/>
    <w:rsid w:val="004A52BB"/>
    <w:rsid w:val="004A5D68"/>
    <w:rsid w:val="004B60B8"/>
    <w:rsid w:val="004C4BF9"/>
    <w:rsid w:val="004C63B9"/>
    <w:rsid w:val="004E3184"/>
    <w:rsid w:val="004E3C02"/>
    <w:rsid w:val="004F2D85"/>
    <w:rsid w:val="004F36BA"/>
    <w:rsid w:val="0050146B"/>
    <w:rsid w:val="00501D5F"/>
    <w:rsid w:val="00507193"/>
    <w:rsid w:val="00507AC2"/>
    <w:rsid w:val="0051149E"/>
    <w:rsid w:val="00521FB5"/>
    <w:rsid w:val="0052683B"/>
    <w:rsid w:val="00533EA3"/>
    <w:rsid w:val="00536BAA"/>
    <w:rsid w:val="00543876"/>
    <w:rsid w:val="005463EA"/>
    <w:rsid w:val="0055345B"/>
    <w:rsid w:val="00553835"/>
    <w:rsid w:val="00555CD1"/>
    <w:rsid w:val="00557277"/>
    <w:rsid w:val="0056224F"/>
    <w:rsid w:val="00571F89"/>
    <w:rsid w:val="005724CD"/>
    <w:rsid w:val="00574F7D"/>
    <w:rsid w:val="005816A1"/>
    <w:rsid w:val="0058295B"/>
    <w:rsid w:val="00593268"/>
    <w:rsid w:val="005A6474"/>
    <w:rsid w:val="005B1B16"/>
    <w:rsid w:val="005B1CB4"/>
    <w:rsid w:val="005D04DF"/>
    <w:rsid w:val="005D0F25"/>
    <w:rsid w:val="005D1EEB"/>
    <w:rsid w:val="005E4390"/>
    <w:rsid w:val="005F6D92"/>
    <w:rsid w:val="005F79B4"/>
    <w:rsid w:val="00605F54"/>
    <w:rsid w:val="0061590F"/>
    <w:rsid w:val="00624206"/>
    <w:rsid w:val="00624E73"/>
    <w:rsid w:val="006336C1"/>
    <w:rsid w:val="00652FB4"/>
    <w:rsid w:val="00653493"/>
    <w:rsid w:val="00654D6A"/>
    <w:rsid w:val="00657E8E"/>
    <w:rsid w:val="00666510"/>
    <w:rsid w:val="006728DB"/>
    <w:rsid w:val="00673596"/>
    <w:rsid w:val="00675E90"/>
    <w:rsid w:val="006764F6"/>
    <w:rsid w:val="00681238"/>
    <w:rsid w:val="006861AB"/>
    <w:rsid w:val="006923B4"/>
    <w:rsid w:val="00695F34"/>
    <w:rsid w:val="0069691A"/>
    <w:rsid w:val="006A58EF"/>
    <w:rsid w:val="006B006F"/>
    <w:rsid w:val="006B116B"/>
    <w:rsid w:val="006B1607"/>
    <w:rsid w:val="006D0322"/>
    <w:rsid w:val="006D1EEF"/>
    <w:rsid w:val="006D23F6"/>
    <w:rsid w:val="006D4A8E"/>
    <w:rsid w:val="006E1B20"/>
    <w:rsid w:val="006E43FC"/>
    <w:rsid w:val="006E49FC"/>
    <w:rsid w:val="007115CF"/>
    <w:rsid w:val="007115DE"/>
    <w:rsid w:val="00717D79"/>
    <w:rsid w:val="007235C1"/>
    <w:rsid w:val="00723B8D"/>
    <w:rsid w:val="0072403F"/>
    <w:rsid w:val="00743FF1"/>
    <w:rsid w:val="00744E8D"/>
    <w:rsid w:val="00750398"/>
    <w:rsid w:val="0075178E"/>
    <w:rsid w:val="00752BA2"/>
    <w:rsid w:val="00756BCD"/>
    <w:rsid w:val="00767ECF"/>
    <w:rsid w:val="007707FE"/>
    <w:rsid w:val="00772420"/>
    <w:rsid w:val="0078006C"/>
    <w:rsid w:val="0078328B"/>
    <w:rsid w:val="00783398"/>
    <w:rsid w:val="00785EB8"/>
    <w:rsid w:val="00791D9B"/>
    <w:rsid w:val="00797B9A"/>
    <w:rsid w:val="007A1173"/>
    <w:rsid w:val="007C1751"/>
    <w:rsid w:val="007C6E52"/>
    <w:rsid w:val="007E13CF"/>
    <w:rsid w:val="007F1F68"/>
    <w:rsid w:val="00800A56"/>
    <w:rsid w:val="00813068"/>
    <w:rsid w:val="008219A2"/>
    <w:rsid w:val="0082350E"/>
    <w:rsid w:val="0082353F"/>
    <w:rsid w:val="0082574C"/>
    <w:rsid w:val="00837056"/>
    <w:rsid w:val="0083707B"/>
    <w:rsid w:val="0083718F"/>
    <w:rsid w:val="00853795"/>
    <w:rsid w:val="00861E7C"/>
    <w:rsid w:val="008676CD"/>
    <w:rsid w:val="0086786A"/>
    <w:rsid w:val="00875FB0"/>
    <w:rsid w:val="0087686E"/>
    <w:rsid w:val="00877D42"/>
    <w:rsid w:val="008822A9"/>
    <w:rsid w:val="008A05F1"/>
    <w:rsid w:val="008A1F9A"/>
    <w:rsid w:val="008A6FE6"/>
    <w:rsid w:val="008B2D9F"/>
    <w:rsid w:val="008B557E"/>
    <w:rsid w:val="008B653C"/>
    <w:rsid w:val="008B6AC0"/>
    <w:rsid w:val="008C0955"/>
    <w:rsid w:val="008C39F4"/>
    <w:rsid w:val="008D19E5"/>
    <w:rsid w:val="008D31F9"/>
    <w:rsid w:val="008D61B4"/>
    <w:rsid w:val="008D7C64"/>
    <w:rsid w:val="008E4FD4"/>
    <w:rsid w:val="008F5AFB"/>
    <w:rsid w:val="008F64F2"/>
    <w:rsid w:val="00900EFD"/>
    <w:rsid w:val="0090313C"/>
    <w:rsid w:val="009162A0"/>
    <w:rsid w:val="00925DDB"/>
    <w:rsid w:val="00925ED5"/>
    <w:rsid w:val="00926A2F"/>
    <w:rsid w:val="00932188"/>
    <w:rsid w:val="00935A81"/>
    <w:rsid w:val="00953536"/>
    <w:rsid w:val="0095447A"/>
    <w:rsid w:val="00961B90"/>
    <w:rsid w:val="0096203A"/>
    <w:rsid w:val="009638B0"/>
    <w:rsid w:val="009765F3"/>
    <w:rsid w:val="009806BF"/>
    <w:rsid w:val="00983AEE"/>
    <w:rsid w:val="00985B5A"/>
    <w:rsid w:val="009B391E"/>
    <w:rsid w:val="009C14CF"/>
    <w:rsid w:val="009C4AFF"/>
    <w:rsid w:val="009D0DFB"/>
    <w:rsid w:val="009D25A8"/>
    <w:rsid w:val="009E4BD6"/>
    <w:rsid w:val="009E4DC6"/>
    <w:rsid w:val="009F0F76"/>
    <w:rsid w:val="009F1EA5"/>
    <w:rsid w:val="009F3BE1"/>
    <w:rsid w:val="00A05216"/>
    <w:rsid w:val="00A06895"/>
    <w:rsid w:val="00A169D3"/>
    <w:rsid w:val="00A32F81"/>
    <w:rsid w:val="00A334E9"/>
    <w:rsid w:val="00A443CF"/>
    <w:rsid w:val="00A44507"/>
    <w:rsid w:val="00A44ECF"/>
    <w:rsid w:val="00A465ED"/>
    <w:rsid w:val="00A53DF5"/>
    <w:rsid w:val="00A62DEB"/>
    <w:rsid w:val="00A65075"/>
    <w:rsid w:val="00A65DE7"/>
    <w:rsid w:val="00A66057"/>
    <w:rsid w:val="00A67B42"/>
    <w:rsid w:val="00A700E3"/>
    <w:rsid w:val="00A74217"/>
    <w:rsid w:val="00A81B11"/>
    <w:rsid w:val="00A92EF6"/>
    <w:rsid w:val="00A9491B"/>
    <w:rsid w:val="00AA1DDC"/>
    <w:rsid w:val="00AB054A"/>
    <w:rsid w:val="00AB4A6B"/>
    <w:rsid w:val="00AC2A5A"/>
    <w:rsid w:val="00AC4176"/>
    <w:rsid w:val="00AC5D8C"/>
    <w:rsid w:val="00AE3B5F"/>
    <w:rsid w:val="00AE3CC6"/>
    <w:rsid w:val="00AE73D5"/>
    <w:rsid w:val="00AF36A4"/>
    <w:rsid w:val="00AF4C3C"/>
    <w:rsid w:val="00AF5BB4"/>
    <w:rsid w:val="00B07859"/>
    <w:rsid w:val="00B10D32"/>
    <w:rsid w:val="00B113A9"/>
    <w:rsid w:val="00B12762"/>
    <w:rsid w:val="00B135EA"/>
    <w:rsid w:val="00B1360D"/>
    <w:rsid w:val="00B166E1"/>
    <w:rsid w:val="00B21E9C"/>
    <w:rsid w:val="00B2348C"/>
    <w:rsid w:val="00B34F62"/>
    <w:rsid w:val="00B402D7"/>
    <w:rsid w:val="00B429E2"/>
    <w:rsid w:val="00B44E5C"/>
    <w:rsid w:val="00B45101"/>
    <w:rsid w:val="00B47829"/>
    <w:rsid w:val="00B50938"/>
    <w:rsid w:val="00B542C8"/>
    <w:rsid w:val="00B557AC"/>
    <w:rsid w:val="00B57FCA"/>
    <w:rsid w:val="00B609C3"/>
    <w:rsid w:val="00B72BF7"/>
    <w:rsid w:val="00B855C7"/>
    <w:rsid w:val="00BA3377"/>
    <w:rsid w:val="00BB2BA8"/>
    <w:rsid w:val="00BC31AA"/>
    <w:rsid w:val="00BD0227"/>
    <w:rsid w:val="00BD2715"/>
    <w:rsid w:val="00BD7053"/>
    <w:rsid w:val="00BF1110"/>
    <w:rsid w:val="00BF2E96"/>
    <w:rsid w:val="00BF6996"/>
    <w:rsid w:val="00C04178"/>
    <w:rsid w:val="00C165BD"/>
    <w:rsid w:val="00C177D2"/>
    <w:rsid w:val="00C30D9E"/>
    <w:rsid w:val="00C340D5"/>
    <w:rsid w:val="00C35214"/>
    <w:rsid w:val="00C36D95"/>
    <w:rsid w:val="00C44393"/>
    <w:rsid w:val="00C56016"/>
    <w:rsid w:val="00C56846"/>
    <w:rsid w:val="00C56F35"/>
    <w:rsid w:val="00C74568"/>
    <w:rsid w:val="00C75520"/>
    <w:rsid w:val="00C75CBF"/>
    <w:rsid w:val="00C81635"/>
    <w:rsid w:val="00C831C9"/>
    <w:rsid w:val="00C8329A"/>
    <w:rsid w:val="00C84993"/>
    <w:rsid w:val="00C85077"/>
    <w:rsid w:val="00C9679A"/>
    <w:rsid w:val="00CA0B18"/>
    <w:rsid w:val="00CA1695"/>
    <w:rsid w:val="00CA3A2E"/>
    <w:rsid w:val="00CA724C"/>
    <w:rsid w:val="00CB22C3"/>
    <w:rsid w:val="00CC3D23"/>
    <w:rsid w:val="00CD44F7"/>
    <w:rsid w:val="00CD6228"/>
    <w:rsid w:val="00CE1590"/>
    <w:rsid w:val="00CE3F98"/>
    <w:rsid w:val="00CE5494"/>
    <w:rsid w:val="00CF4B0E"/>
    <w:rsid w:val="00CF6FFD"/>
    <w:rsid w:val="00D11E7A"/>
    <w:rsid w:val="00D20203"/>
    <w:rsid w:val="00D23E57"/>
    <w:rsid w:val="00D36BC2"/>
    <w:rsid w:val="00D42597"/>
    <w:rsid w:val="00D4272A"/>
    <w:rsid w:val="00D432C6"/>
    <w:rsid w:val="00D4573C"/>
    <w:rsid w:val="00D45F61"/>
    <w:rsid w:val="00D61995"/>
    <w:rsid w:val="00D67DEF"/>
    <w:rsid w:val="00D7115F"/>
    <w:rsid w:val="00D860E5"/>
    <w:rsid w:val="00D90647"/>
    <w:rsid w:val="00D9309D"/>
    <w:rsid w:val="00D95B91"/>
    <w:rsid w:val="00D970AF"/>
    <w:rsid w:val="00DA18B7"/>
    <w:rsid w:val="00DA240A"/>
    <w:rsid w:val="00DB3DA2"/>
    <w:rsid w:val="00DB5A86"/>
    <w:rsid w:val="00DC27D0"/>
    <w:rsid w:val="00DC2E22"/>
    <w:rsid w:val="00DC7447"/>
    <w:rsid w:val="00DD7A56"/>
    <w:rsid w:val="00DE25EA"/>
    <w:rsid w:val="00DE4693"/>
    <w:rsid w:val="00DE4822"/>
    <w:rsid w:val="00DF50D2"/>
    <w:rsid w:val="00E019AE"/>
    <w:rsid w:val="00E02912"/>
    <w:rsid w:val="00E10DF3"/>
    <w:rsid w:val="00E12F48"/>
    <w:rsid w:val="00E13779"/>
    <w:rsid w:val="00E157DF"/>
    <w:rsid w:val="00E20203"/>
    <w:rsid w:val="00E23547"/>
    <w:rsid w:val="00E23E4A"/>
    <w:rsid w:val="00E25E55"/>
    <w:rsid w:val="00E2600E"/>
    <w:rsid w:val="00E27BEC"/>
    <w:rsid w:val="00E34258"/>
    <w:rsid w:val="00E4030D"/>
    <w:rsid w:val="00E47C7A"/>
    <w:rsid w:val="00E51F0D"/>
    <w:rsid w:val="00E63D78"/>
    <w:rsid w:val="00E67624"/>
    <w:rsid w:val="00E801ED"/>
    <w:rsid w:val="00E829D1"/>
    <w:rsid w:val="00E83384"/>
    <w:rsid w:val="00E86572"/>
    <w:rsid w:val="00E870C5"/>
    <w:rsid w:val="00E92372"/>
    <w:rsid w:val="00E9674A"/>
    <w:rsid w:val="00EA2EB5"/>
    <w:rsid w:val="00EA468D"/>
    <w:rsid w:val="00EA72B6"/>
    <w:rsid w:val="00EB1D93"/>
    <w:rsid w:val="00EB1FA0"/>
    <w:rsid w:val="00EB28D0"/>
    <w:rsid w:val="00ED2742"/>
    <w:rsid w:val="00EF0356"/>
    <w:rsid w:val="00EF3BFD"/>
    <w:rsid w:val="00EF6396"/>
    <w:rsid w:val="00EF7B1B"/>
    <w:rsid w:val="00F06BE2"/>
    <w:rsid w:val="00F07739"/>
    <w:rsid w:val="00F153E5"/>
    <w:rsid w:val="00F1719B"/>
    <w:rsid w:val="00F30FD9"/>
    <w:rsid w:val="00F314DC"/>
    <w:rsid w:val="00F325D9"/>
    <w:rsid w:val="00F3540A"/>
    <w:rsid w:val="00F362CA"/>
    <w:rsid w:val="00F37A33"/>
    <w:rsid w:val="00F40764"/>
    <w:rsid w:val="00F42507"/>
    <w:rsid w:val="00F426B9"/>
    <w:rsid w:val="00F4560F"/>
    <w:rsid w:val="00F46C80"/>
    <w:rsid w:val="00F55C5E"/>
    <w:rsid w:val="00F72518"/>
    <w:rsid w:val="00F87CA6"/>
    <w:rsid w:val="00F93125"/>
    <w:rsid w:val="00F94718"/>
    <w:rsid w:val="00FB67D1"/>
    <w:rsid w:val="00FC57AC"/>
    <w:rsid w:val="00FD38BA"/>
    <w:rsid w:val="00FE2D11"/>
    <w:rsid w:val="00FE3AF6"/>
    <w:rsid w:val="00FF0B18"/>
    <w:rsid w:val="00FF3F46"/>
    <w:rsid w:val="00FF4300"/>
    <w:rsid w:val="00FF4330"/>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DD6A0"/>
  <w14:defaultImageDpi w14:val="0"/>
  <w15:docId w15:val="{92B796A5-5D48-4C30-8324-BA0CDC3E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left="85" w:right="85"/>
      <w:jc w:val="both"/>
      <w:outlineLvl w:val="0"/>
    </w:pPr>
    <w:rPr>
      <w:b/>
      <w:bCs/>
      <w:sz w:val="22"/>
      <w:szCs w:val="22"/>
      <w:lang w:val="en-US"/>
    </w:rPr>
  </w:style>
  <w:style w:type="paragraph" w:styleId="2">
    <w:name w:val="heading 2"/>
    <w:basedOn w:val="a"/>
    <w:next w:val="a"/>
    <w:link w:val="20"/>
    <w:uiPriority w:val="99"/>
    <w:qFormat/>
    <w:pPr>
      <w:keepNext/>
      <w:spacing w:before="20"/>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paragraph" w:styleId="a3">
    <w:name w:val="Balloon Text"/>
    <w:basedOn w:val="a"/>
    <w:link w:val="a4"/>
    <w:uiPriority w:val="99"/>
    <w:semiHidden/>
    <w:rsid w:val="00D11E7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paragraph" w:styleId="a9">
    <w:name w:val="Body Text"/>
    <w:basedOn w:val="a"/>
    <w:link w:val="aa"/>
    <w:uiPriority w:val="99"/>
    <w:pPr>
      <w:spacing w:after="240"/>
      <w:jc w:val="center"/>
    </w:pPr>
    <w:rPr>
      <w:b/>
      <w:bCs/>
      <w:sz w:val="26"/>
      <w:szCs w:val="26"/>
    </w:rPr>
  </w:style>
  <w:style w:type="character" w:customStyle="1" w:styleId="aa">
    <w:name w:val="Основной текст Знак"/>
    <w:link w:val="a9"/>
    <w:uiPriority w:val="99"/>
    <w:locked/>
    <w:rPr>
      <w:rFonts w:cs="Times New Roman"/>
      <w:sz w:val="20"/>
      <w:szCs w:val="20"/>
    </w:rPr>
  </w:style>
  <w:style w:type="character" w:styleId="ab">
    <w:name w:val="Hyperlink"/>
    <w:uiPriority w:val="99"/>
    <w:rsid w:val="000444A0"/>
    <w:rPr>
      <w:rFonts w:cs="Times New Roman"/>
      <w:color w:val="0000FF"/>
      <w:u w:val="single"/>
    </w:rPr>
  </w:style>
  <w:style w:type="character" w:customStyle="1" w:styleId="SUBST">
    <w:name w:val="__SUBST"/>
    <w:uiPriority w:val="99"/>
    <w:rsid w:val="00025D17"/>
    <w:rPr>
      <w:b/>
      <w:i/>
      <w:sz w:val="22"/>
    </w:rPr>
  </w:style>
  <w:style w:type="character" w:customStyle="1" w:styleId="normaltext1">
    <w:name w:val="normaltext1"/>
    <w:uiPriority w:val="99"/>
    <w:rsid w:val="00695F34"/>
    <w:rPr>
      <w:rFonts w:ascii="Tahoma" w:hAnsi="Tahoma" w:cs="Tahoma"/>
      <w:sz w:val="16"/>
      <w:szCs w:val="16"/>
    </w:rPr>
  </w:style>
  <w:style w:type="character" w:styleId="ac">
    <w:name w:val="Emphasis"/>
    <w:uiPriority w:val="99"/>
    <w:qFormat/>
    <w:rPr>
      <w:rFonts w:cs="Times New Roman"/>
      <w:i/>
      <w:iCs/>
    </w:rPr>
  </w:style>
  <w:style w:type="character" w:customStyle="1" w:styleId="subst0">
    <w:name w:val="subst"/>
    <w:uiPriority w:val="99"/>
    <w:rPr>
      <w:rFonts w:cs="Times New Roman"/>
    </w:rPr>
  </w:style>
  <w:style w:type="paragraph" w:customStyle="1" w:styleId="CharChar">
    <w:name w:val="Char Char"/>
    <w:basedOn w:val="a"/>
    <w:uiPriority w:val="99"/>
    <w:pPr>
      <w:autoSpaceDE/>
      <w:autoSpaceDN/>
      <w:spacing w:after="160" w:line="240" w:lineRule="exact"/>
    </w:pPr>
    <w:rPr>
      <w:rFonts w:ascii="Verdana" w:hAnsi="Verdana" w:cs="Verdana"/>
      <w:lang w:val="en-US" w:eastAsia="en-US"/>
    </w:rPr>
  </w:style>
  <w:style w:type="character" w:styleId="ad">
    <w:name w:val="Strong"/>
    <w:uiPriority w:val="99"/>
    <w:qFormat/>
    <w:locked/>
    <w:rsid w:val="007115CF"/>
    <w:rPr>
      <w:rFonts w:cs="Times New Roman"/>
      <w:b/>
      <w:bCs/>
    </w:rPr>
  </w:style>
  <w:style w:type="character" w:customStyle="1" w:styleId="hl1">
    <w:name w:val="hl1"/>
    <w:rsid w:val="00CC3D23"/>
    <w:rPr>
      <w:shd w:val="clear" w:color="auto" w:fill="FFFF80"/>
    </w:rPr>
  </w:style>
  <w:style w:type="character" w:styleId="ae">
    <w:name w:val="annotation reference"/>
    <w:semiHidden/>
    <w:unhideWhenUsed/>
    <w:rsid w:val="00C36D95"/>
    <w:rPr>
      <w:rFonts w:cs="Times New Roman"/>
      <w:sz w:val="16"/>
      <w:szCs w:val="16"/>
    </w:rPr>
  </w:style>
  <w:style w:type="paragraph" w:styleId="af">
    <w:name w:val="annotation text"/>
    <w:basedOn w:val="a"/>
    <w:link w:val="af0"/>
    <w:unhideWhenUsed/>
    <w:rsid w:val="00C36D95"/>
  </w:style>
  <w:style w:type="character" w:customStyle="1" w:styleId="af0">
    <w:name w:val="Текст примечания Знак"/>
    <w:link w:val="af"/>
    <w:locked/>
    <w:rsid w:val="00C36D95"/>
    <w:rPr>
      <w:rFonts w:cs="Times New Roman"/>
      <w:sz w:val="20"/>
      <w:szCs w:val="20"/>
    </w:rPr>
  </w:style>
  <w:style w:type="paragraph" w:styleId="af1">
    <w:name w:val="annotation subject"/>
    <w:basedOn w:val="af"/>
    <w:next w:val="af"/>
    <w:link w:val="af2"/>
    <w:uiPriority w:val="99"/>
    <w:semiHidden/>
    <w:unhideWhenUsed/>
    <w:rsid w:val="00C36D95"/>
    <w:rPr>
      <w:b/>
      <w:bCs/>
    </w:rPr>
  </w:style>
  <w:style w:type="character" w:customStyle="1" w:styleId="af2">
    <w:name w:val="Тема примечания Знак"/>
    <w:link w:val="af1"/>
    <w:uiPriority w:val="99"/>
    <w:semiHidden/>
    <w:locked/>
    <w:rsid w:val="00C36D95"/>
    <w:rPr>
      <w:rFonts w:cs="Times New Roman"/>
      <w:b/>
      <w:bCs/>
      <w:sz w:val="20"/>
      <w:szCs w:val="20"/>
    </w:rPr>
  </w:style>
  <w:style w:type="paragraph" w:styleId="af3">
    <w:name w:val="List Paragraph"/>
    <w:basedOn w:val="a"/>
    <w:uiPriority w:val="34"/>
    <w:qFormat/>
    <w:rsid w:val="0096203A"/>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52">
      <w:bodyDiv w:val="1"/>
      <w:marLeft w:val="0"/>
      <w:marRight w:val="0"/>
      <w:marTop w:val="0"/>
      <w:marBottom w:val="0"/>
      <w:divBdr>
        <w:top w:val="none" w:sz="0" w:space="0" w:color="auto"/>
        <w:left w:val="none" w:sz="0" w:space="0" w:color="auto"/>
        <w:bottom w:val="none" w:sz="0" w:space="0" w:color="auto"/>
        <w:right w:val="none" w:sz="0" w:space="0" w:color="auto"/>
      </w:divBdr>
    </w:div>
    <w:div w:id="65299808">
      <w:bodyDiv w:val="1"/>
      <w:marLeft w:val="0"/>
      <w:marRight w:val="0"/>
      <w:marTop w:val="0"/>
      <w:marBottom w:val="0"/>
      <w:divBdr>
        <w:top w:val="none" w:sz="0" w:space="0" w:color="auto"/>
        <w:left w:val="none" w:sz="0" w:space="0" w:color="auto"/>
        <w:bottom w:val="none" w:sz="0" w:space="0" w:color="auto"/>
        <w:right w:val="none" w:sz="0" w:space="0" w:color="auto"/>
      </w:divBdr>
    </w:div>
    <w:div w:id="149252613">
      <w:bodyDiv w:val="1"/>
      <w:marLeft w:val="0"/>
      <w:marRight w:val="0"/>
      <w:marTop w:val="0"/>
      <w:marBottom w:val="0"/>
      <w:divBdr>
        <w:top w:val="none" w:sz="0" w:space="0" w:color="auto"/>
        <w:left w:val="none" w:sz="0" w:space="0" w:color="auto"/>
        <w:bottom w:val="none" w:sz="0" w:space="0" w:color="auto"/>
        <w:right w:val="none" w:sz="0" w:space="0" w:color="auto"/>
      </w:divBdr>
    </w:div>
    <w:div w:id="203248951">
      <w:bodyDiv w:val="1"/>
      <w:marLeft w:val="0"/>
      <w:marRight w:val="0"/>
      <w:marTop w:val="0"/>
      <w:marBottom w:val="0"/>
      <w:divBdr>
        <w:top w:val="none" w:sz="0" w:space="0" w:color="auto"/>
        <w:left w:val="none" w:sz="0" w:space="0" w:color="auto"/>
        <w:bottom w:val="none" w:sz="0" w:space="0" w:color="auto"/>
        <w:right w:val="none" w:sz="0" w:space="0" w:color="auto"/>
      </w:divBdr>
    </w:div>
    <w:div w:id="509412480">
      <w:bodyDiv w:val="1"/>
      <w:marLeft w:val="0"/>
      <w:marRight w:val="0"/>
      <w:marTop w:val="0"/>
      <w:marBottom w:val="0"/>
      <w:divBdr>
        <w:top w:val="none" w:sz="0" w:space="0" w:color="auto"/>
        <w:left w:val="none" w:sz="0" w:space="0" w:color="auto"/>
        <w:bottom w:val="none" w:sz="0" w:space="0" w:color="auto"/>
        <w:right w:val="none" w:sz="0" w:space="0" w:color="auto"/>
      </w:divBdr>
    </w:div>
    <w:div w:id="684787581">
      <w:bodyDiv w:val="1"/>
      <w:marLeft w:val="0"/>
      <w:marRight w:val="0"/>
      <w:marTop w:val="0"/>
      <w:marBottom w:val="0"/>
      <w:divBdr>
        <w:top w:val="none" w:sz="0" w:space="0" w:color="auto"/>
        <w:left w:val="none" w:sz="0" w:space="0" w:color="auto"/>
        <w:bottom w:val="none" w:sz="0" w:space="0" w:color="auto"/>
        <w:right w:val="none" w:sz="0" w:space="0" w:color="auto"/>
      </w:divBdr>
    </w:div>
    <w:div w:id="880825575">
      <w:bodyDiv w:val="1"/>
      <w:marLeft w:val="0"/>
      <w:marRight w:val="0"/>
      <w:marTop w:val="0"/>
      <w:marBottom w:val="0"/>
      <w:divBdr>
        <w:top w:val="none" w:sz="0" w:space="0" w:color="auto"/>
        <w:left w:val="none" w:sz="0" w:space="0" w:color="auto"/>
        <w:bottom w:val="none" w:sz="0" w:space="0" w:color="auto"/>
        <w:right w:val="none" w:sz="0" w:space="0" w:color="auto"/>
      </w:divBdr>
    </w:div>
    <w:div w:id="1061245357">
      <w:marLeft w:val="0"/>
      <w:marRight w:val="0"/>
      <w:marTop w:val="0"/>
      <w:marBottom w:val="0"/>
      <w:divBdr>
        <w:top w:val="none" w:sz="0" w:space="0" w:color="auto"/>
        <w:left w:val="none" w:sz="0" w:space="0" w:color="auto"/>
        <w:bottom w:val="none" w:sz="0" w:space="0" w:color="auto"/>
        <w:right w:val="none" w:sz="0" w:space="0" w:color="auto"/>
      </w:divBdr>
    </w:div>
    <w:div w:id="1307051462">
      <w:bodyDiv w:val="1"/>
      <w:marLeft w:val="0"/>
      <w:marRight w:val="0"/>
      <w:marTop w:val="0"/>
      <w:marBottom w:val="0"/>
      <w:divBdr>
        <w:top w:val="none" w:sz="0" w:space="0" w:color="auto"/>
        <w:left w:val="none" w:sz="0" w:space="0" w:color="auto"/>
        <w:bottom w:val="none" w:sz="0" w:space="0" w:color="auto"/>
        <w:right w:val="none" w:sz="0" w:space="0" w:color="auto"/>
      </w:divBdr>
    </w:div>
    <w:div w:id="1616712785">
      <w:bodyDiv w:val="1"/>
      <w:marLeft w:val="0"/>
      <w:marRight w:val="0"/>
      <w:marTop w:val="0"/>
      <w:marBottom w:val="0"/>
      <w:divBdr>
        <w:top w:val="none" w:sz="0" w:space="0" w:color="auto"/>
        <w:left w:val="none" w:sz="0" w:space="0" w:color="auto"/>
        <w:bottom w:val="none" w:sz="0" w:space="0" w:color="auto"/>
        <w:right w:val="none" w:sz="0" w:space="0" w:color="auto"/>
      </w:divBdr>
    </w:div>
    <w:div w:id="1787579123">
      <w:bodyDiv w:val="1"/>
      <w:marLeft w:val="0"/>
      <w:marRight w:val="0"/>
      <w:marTop w:val="0"/>
      <w:marBottom w:val="0"/>
      <w:divBdr>
        <w:top w:val="none" w:sz="0" w:space="0" w:color="auto"/>
        <w:left w:val="none" w:sz="0" w:space="0" w:color="auto"/>
        <w:bottom w:val="none" w:sz="0" w:space="0" w:color="auto"/>
        <w:right w:val="none" w:sz="0" w:space="0" w:color="auto"/>
      </w:divBdr>
    </w:div>
    <w:div w:id="1849251470">
      <w:bodyDiv w:val="1"/>
      <w:marLeft w:val="0"/>
      <w:marRight w:val="0"/>
      <w:marTop w:val="0"/>
      <w:marBottom w:val="0"/>
      <w:divBdr>
        <w:top w:val="none" w:sz="0" w:space="0" w:color="auto"/>
        <w:left w:val="none" w:sz="0" w:space="0" w:color="auto"/>
        <w:bottom w:val="none" w:sz="0" w:space="0" w:color="auto"/>
        <w:right w:val="none" w:sz="0" w:space="0" w:color="auto"/>
      </w:divBdr>
    </w:div>
    <w:div w:id="2145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73" TargetMode="External"/><Relationship Id="rId3" Type="http://schemas.openxmlformats.org/officeDocument/2006/relationships/settings" Target="settings.xml"/><Relationship Id="rId7" Type="http://schemas.openxmlformats.org/officeDocument/2006/relationships/hyperlink" Target="http://www.phosagro.ru/ori/item4157.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hinamoney.com.cn/chinese/bklpr/" TargetMode="External"/><Relationship Id="rId4" Type="http://schemas.openxmlformats.org/officeDocument/2006/relationships/webSettings" Target="webSettings.xml"/><Relationship Id="rId9" Type="http://schemas.openxmlformats.org/officeDocument/2006/relationships/hyperlink" Target="mailto:Syndicate@gazprom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9069</Characters>
  <Application>Microsoft Office Word</Application>
  <DocSecurity>0</DocSecurity>
  <Lines>75</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17</vt:lpstr>
      <vt:lpstr>Приложение 17</vt:lpstr>
    </vt:vector>
  </TitlesOfParts>
  <Company>Uralsib</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17</dc:title>
  <dc:subject/>
  <dc:creator>Prof-SlejovaNA</dc:creator>
  <cp:keywords/>
  <dc:description/>
  <cp:lastModifiedBy>Шниткова Ирина Борисовна</cp:lastModifiedBy>
  <cp:revision>4</cp:revision>
  <cp:lastPrinted>2021-07-28T16:03:00Z</cp:lastPrinted>
  <dcterms:created xsi:type="dcterms:W3CDTF">2023-04-10T07:12:00Z</dcterms:created>
  <dcterms:modified xsi:type="dcterms:W3CDTF">2023-04-10T07:36:00Z</dcterms:modified>
</cp:coreProperties>
</file>