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495"/>
      </w:tblGrid>
      <w:tr w:rsidR="00F37748" w:rsidRPr="00D136B3" w:rsidTr="00075965">
        <w:tc>
          <w:tcPr>
            <w:tcW w:w="10632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95" w:type="dxa"/>
          </w:tcPr>
          <w:p w:rsidR="00706E89" w:rsidRPr="00FB0B78" w:rsidRDefault="00384F84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075965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5" w:type="dxa"/>
          </w:tcPr>
          <w:p w:rsidR="009B7946" w:rsidRPr="00955E44" w:rsidRDefault="00384F84" w:rsidP="00384F8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BB0EC3"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50"/>
      </w:tblGrid>
      <w:tr w:rsidR="00F37748" w:rsidRPr="00D136B3" w:rsidTr="00075965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075965">
        <w:tc>
          <w:tcPr>
            <w:tcW w:w="10632" w:type="dxa"/>
            <w:gridSpan w:val="11"/>
          </w:tcPr>
          <w:p w:rsidR="00565FED" w:rsidRPr="00075965" w:rsidRDefault="00390B80" w:rsidP="00075965">
            <w:pPr>
              <w:ind w:left="114" w:right="114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019AA">
              <w:rPr>
                <w:b/>
                <w:i/>
                <w:sz w:val="22"/>
                <w:szCs w:val="22"/>
              </w:rPr>
              <w:t xml:space="preserve">эмитент </w:t>
            </w:r>
            <w:r w:rsidR="00155196">
              <w:rPr>
                <w:b/>
                <w:i/>
                <w:sz w:val="22"/>
                <w:szCs w:val="22"/>
              </w:rPr>
              <w:t xml:space="preserve">сообщает </w:t>
            </w:r>
            <w:r w:rsidR="00384F84">
              <w:rPr>
                <w:b/>
                <w:i/>
                <w:sz w:val="22"/>
                <w:szCs w:val="22"/>
              </w:rPr>
              <w:t>о поддержке</w:t>
            </w:r>
            <w:r w:rsidR="00384F84" w:rsidRPr="00384F84">
              <w:rPr>
                <w:b/>
                <w:i/>
                <w:sz w:val="22"/>
                <w:szCs w:val="22"/>
              </w:rPr>
              <w:t xml:space="preserve"> принят</w:t>
            </w:r>
            <w:r w:rsidR="00384F84">
              <w:rPr>
                <w:b/>
                <w:i/>
                <w:sz w:val="22"/>
                <w:szCs w:val="22"/>
              </w:rPr>
              <w:t>ого</w:t>
            </w:r>
            <w:r w:rsidR="00384F84" w:rsidRPr="00384F84">
              <w:rPr>
                <w:b/>
                <w:i/>
                <w:sz w:val="22"/>
                <w:szCs w:val="22"/>
              </w:rPr>
              <w:t xml:space="preserve"> Европейским парламентом и Европейским Советом окончательн</w:t>
            </w:r>
            <w:r w:rsidR="00384F84">
              <w:rPr>
                <w:b/>
                <w:i/>
                <w:sz w:val="22"/>
                <w:szCs w:val="22"/>
              </w:rPr>
              <w:t>ого</w:t>
            </w:r>
            <w:bookmarkStart w:id="0" w:name="_GoBack"/>
            <w:bookmarkEnd w:id="0"/>
            <w:r w:rsidR="00384F84" w:rsidRPr="00384F84">
              <w:rPr>
                <w:b/>
                <w:i/>
                <w:sz w:val="22"/>
                <w:szCs w:val="22"/>
              </w:rPr>
              <w:t xml:space="preserve"> решения о повсеместном ограничении оборота фосфорных удобрений с высоким содержанием тяжелых металлов на территории ЕС в 2022 г. и введении с этого года добровольной зеленой маркировки для удобрений с содержанием кадмия менее 20 мг/кг.</w:t>
            </w:r>
          </w:p>
          <w:p w:rsidR="00A468F5" w:rsidRPr="00FB0B78" w:rsidRDefault="00A468F5" w:rsidP="00F6266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84F84">
              <w:rPr>
                <w:b/>
                <w:i/>
                <w:sz w:val="22"/>
                <w:szCs w:val="22"/>
              </w:rPr>
              <w:t xml:space="preserve">22 </w:t>
            </w:r>
            <w:r w:rsidR="00BB0EC3">
              <w:rPr>
                <w:b/>
                <w:i/>
                <w:sz w:val="22"/>
                <w:szCs w:val="22"/>
              </w:rPr>
              <w:t xml:space="preserve">мая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0D2154" w:rsidRPr="00155196" w:rsidRDefault="00384F84" w:rsidP="00A340B2">
            <w:pPr>
              <w:ind w:left="113" w:right="85"/>
              <w:jc w:val="both"/>
            </w:pPr>
            <w:r w:rsidRPr="00384F84">
              <w:rPr>
                <w:b/>
                <w:i/>
                <w:sz w:val="22"/>
                <w:szCs w:val="22"/>
              </w:rPr>
              <w:t>https://www.londonstockexchange.com/exchange/news/market-news/market-news-detail/PHOR/14084052.html</w:t>
            </w:r>
          </w:p>
          <w:p w:rsidR="00467D32" w:rsidRPr="00B14237" w:rsidRDefault="00B12AC7" w:rsidP="00384F84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84F84">
              <w:rPr>
                <w:b/>
                <w:i/>
                <w:sz w:val="22"/>
                <w:szCs w:val="22"/>
              </w:rPr>
              <w:t>22</w:t>
            </w:r>
            <w:r w:rsidR="00BB0EC3">
              <w:rPr>
                <w:b/>
                <w:i/>
                <w:sz w:val="22"/>
                <w:szCs w:val="22"/>
              </w:rPr>
              <w:t xml:space="preserve"> мая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075965">
        <w:trPr>
          <w:cantSplit/>
          <w:trHeight w:val="410"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84F84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0EC3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75965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30A3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84F84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B75D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4355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0EC3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2663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2019-05-22T15:25:00Z</dcterms:created>
  <dcterms:modified xsi:type="dcterms:W3CDTF">2019-05-22T15:28:00Z</dcterms:modified>
</cp:coreProperties>
</file>