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ED" w:rsidRDefault="001861ED" w:rsidP="001861ED">
      <w:pPr>
        <w:jc w:val="center"/>
        <w:rPr>
          <w:b/>
          <w:bCs/>
          <w:sz w:val="26"/>
          <w:szCs w:val="26"/>
        </w:rPr>
      </w:pPr>
      <w:r>
        <w:rPr>
          <w:b/>
          <w:bCs/>
          <w:sz w:val="26"/>
          <w:szCs w:val="26"/>
        </w:rPr>
        <w:t xml:space="preserve">ИНФОРМАЦИЯ </w:t>
      </w:r>
    </w:p>
    <w:p w:rsidR="001861ED" w:rsidRDefault="001861ED" w:rsidP="001861ED">
      <w:pPr>
        <w:jc w:val="center"/>
        <w:rPr>
          <w:b/>
          <w:bCs/>
          <w:sz w:val="26"/>
          <w:szCs w:val="26"/>
        </w:rPr>
      </w:pPr>
      <w:r w:rsidRPr="00851A40">
        <w:rPr>
          <w:b/>
          <w:bCs/>
          <w:sz w:val="26"/>
          <w:szCs w:val="26"/>
        </w:rPr>
        <w:t>об иных событиях (действиях), оказывающих, по мнению эмитента, существенное влияние на стоимость или котировки его ценных бумаг</w:t>
      </w:r>
    </w:p>
    <w:p w:rsidR="001861ED" w:rsidRDefault="001861ED"/>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96"/>
        <w:gridCol w:w="4819"/>
      </w:tblGrid>
      <w:tr w:rsidR="00EA1DAB" w:rsidTr="00424CF2">
        <w:tblPrEx>
          <w:tblCellMar>
            <w:top w:w="0" w:type="dxa"/>
            <w:bottom w:w="0" w:type="dxa"/>
          </w:tblCellMar>
        </w:tblPrEx>
        <w:trPr>
          <w:cantSplit/>
        </w:trPr>
        <w:tc>
          <w:tcPr>
            <w:tcW w:w="10915" w:type="dxa"/>
            <w:gridSpan w:val="2"/>
          </w:tcPr>
          <w:p w:rsidR="00EA1DAB" w:rsidRDefault="00EA1DAB" w:rsidP="00FD22EF">
            <w:pPr>
              <w:jc w:val="center"/>
              <w:rPr>
                <w:sz w:val="24"/>
                <w:szCs w:val="24"/>
              </w:rPr>
            </w:pPr>
            <w:r>
              <w:rPr>
                <w:sz w:val="24"/>
                <w:szCs w:val="24"/>
              </w:rPr>
              <w:t>1. Общие сведения</w:t>
            </w:r>
          </w:p>
        </w:tc>
      </w:tr>
      <w:tr w:rsidR="00DF7800" w:rsidTr="00424CF2">
        <w:tblPrEx>
          <w:tblCellMar>
            <w:top w:w="0" w:type="dxa"/>
            <w:bottom w:w="0" w:type="dxa"/>
          </w:tblCellMar>
        </w:tblPrEx>
        <w:tc>
          <w:tcPr>
            <w:tcW w:w="6096" w:type="dxa"/>
          </w:tcPr>
          <w:p w:rsidR="00DF7800" w:rsidRDefault="00DF7800" w:rsidP="00D14C91">
            <w:pPr>
              <w:ind w:left="57" w:right="57"/>
              <w:rPr>
                <w:sz w:val="24"/>
                <w:szCs w:val="24"/>
              </w:rPr>
            </w:pPr>
            <w:r>
              <w:rPr>
                <w:sz w:val="24"/>
                <w:szCs w:val="24"/>
              </w:rPr>
              <w:t>1.1. </w:t>
            </w:r>
            <w:r w:rsidRPr="00657C4E">
              <w:rPr>
                <w:sz w:val="24"/>
                <w:szCs w:val="24"/>
              </w:rPr>
              <w:t>Полное фирменное наименование (для</w:t>
            </w:r>
            <w:r>
              <w:rPr>
                <w:sz w:val="24"/>
                <w:szCs w:val="24"/>
              </w:rPr>
              <w:t xml:space="preserve"> </w:t>
            </w:r>
            <w:r w:rsidRPr="00657C4E">
              <w:rPr>
                <w:sz w:val="24"/>
                <w:szCs w:val="24"/>
              </w:rPr>
              <w:t>коммерческой организации) или наименование (для</w:t>
            </w:r>
            <w:r>
              <w:rPr>
                <w:sz w:val="24"/>
                <w:szCs w:val="24"/>
              </w:rPr>
              <w:t xml:space="preserve"> </w:t>
            </w:r>
            <w:r w:rsidRPr="00657C4E">
              <w:rPr>
                <w:sz w:val="24"/>
                <w:szCs w:val="24"/>
              </w:rPr>
              <w:t>некоммерческой организации) эмитента</w:t>
            </w:r>
          </w:p>
        </w:tc>
        <w:tc>
          <w:tcPr>
            <w:tcW w:w="4819" w:type="dxa"/>
          </w:tcPr>
          <w:p w:rsidR="00DF7800" w:rsidRPr="00ED466D" w:rsidRDefault="00DF7800" w:rsidP="00DF7800">
            <w:pPr>
              <w:ind w:left="57"/>
              <w:rPr>
                <w:b/>
                <w:i/>
                <w:sz w:val="24"/>
                <w:szCs w:val="24"/>
              </w:rPr>
            </w:pPr>
            <w:r w:rsidRPr="00ED466D">
              <w:rPr>
                <w:b/>
                <w:i/>
                <w:sz w:val="24"/>
                <w:szCs w:val="24"/>
              </w:rPr>
              <w:t>Публичное акционерное общество «ФосАгро»</w:t>
            </w:r>
          </w:p>
        </w:tc>
      </w:tr>
      <w:tr w:rsidR="00DF7800" w:rsidTr="00424CF2">
        <w:tblPrEx>
          <w:tblCellMar>
            <w:top w:w="0" w:type="dxa"/>
            <w:bottom w:w="0" w:type="dxa"/>
          </w:tblCellMar>
        </w:tblPrEx>
        <w:tc>
          <w:tcPr>
            <w:tcW w:w="6096" w:type="dxa"/>
          </w:tcPr>
          <w:p w:rsidR="00DF7800" w:rsidRDefault="00DF7800" w:rsidP="00D14C91">
            <w:pPr>
              <w:ind w:left="57" w:right="57"/>
              <w:rPr>
                <w:sz w:val="24"/>
                <w:szCs w:val="24"/>
              </w:rPr>
            </w:pPr>
            <w:r>
              <w:rPr>
                <w:sz w:val="24"/>
                <w:szCs w:val="24"/>
              </w:rPr>
              <w:t>1.2. </w:t>
            </w:r>
            <w:r w:rsidRPr="00657C4E">
              <w:rPr>
                <w:sz w:val="24"/>
                <w:szCs w:val="24"/>
              </w:rPr>
              <w:t>Адрес эмитента, указанный в едином</w:t>
            </w:r>
            <w:r>
              <w:rPr>
                <w:sz w:val="24"/>
                <w:szCs w:val="24"/>
              </w:rPr>
              <w:t xml:space="preserve"> </w:t>
            </w:r>
            <w:r w:rsidRPr="00657C4E">
              <w:rPr>
                <w:sz w:val="24"/>
                <w:szCs w:val="24"/>
              </w:rPr>
              <w:t>государственном реестре юридических лиц</w:t>
            </w:r>
          </w:p>
        </w:tc>
        <w:tc>
          <w:tcPr>
            <w:tcW w:w="4819" w:type="dxa"/>
          </w:tcPr>
          <w:p w:rsidR="00DF7800" w:rsidRPr="00ED466D" w:rsidRDefault="00DF7800" w:rsidP="00DF7800">
            <w:pPr>
              <w:ind w:left="57"/>
              <w:rPr>
                <w:b/>
                <w:i/>
                <w:sz w:val="24"/>
                <w:szCs w:val="24"/>
              </w:rPr>
            </w:pPr>
            <w:smartTag w:uri="urn:schemas-microsoft-com:office:smarttags" w:element="metricconverter">
              <w:smartTagPr>
                <w:attr w:name="ProductID" w:val="119333, г"/>
              </w:smartTagPr>
              <w:r w:rsidRPr="00ED466D">
                <w:rPr>
                  <w:b/>
                  <w:i/>
                  <w:sz w:val="24"/>
                  <w:szCs w:val="24"/>
                </w:rPr>
                <w:t>119333, г</w:t>
              </w:r>
            </w:smartTag>
            <w:r w:rsidRPr="00ED466D">
              <w:rPr>
                <w:b/>
                <w:i/>
                <w:sz w:val="24"/>
                <w:szCs w:val="24"/>
              </w:rPr>
              <w:t xml:space="preserve">. Москва, Ленинский проспект, </w:t>
            </w:r>
            <w:r w:rsidR="00AB1E8F">
              <w:rPr>
                <w:b/>
                <w:i/>
                <w:sz w:val="24"/>
                <w:szCs w:val="24"/>
              </w:rPr>
              <w:t xml:space="preserve">    </w:t>
            </w:r>
            <w:r w:rsidRPr="00ED466D">
              <w:rPr>
                <w:b/>
                <w:i/>
                <w:sz w:val="24"/>
                <w:szCs w:val="24"/>
              </w:rPr>
              <w:t>д. 55/1, стр. 1</w:t>
            </w:r>
          </w:p>
        </w:tc>
      </w:tr>
      <w:tr w:rsidR="00DF7800" w:rsidTr="00424CF2">
        <w:tblPrEx>
          <w:tblCellMar>
            <w:top w:w="0" w:type="dxa"/>
            <w:bottom w:w="0" w:type="dxa"/>
          </w:tblCellMar>
        </w:tblPrEx>
        <w:tc>
          <w:tcPr>
            <w:tcW w:w="6096" w:type="dxa"/>
          </w:tcPr>
          <w:p w:rsidR="00DF7800" w:rsidRDefault="00DF7800" w:rsidP="00D14C91">
            <w:pPr>
              <w:ind w:left="57" w:right="57"/>
              <w:rPr>
                <w:sz w:val="24"/>
                <w:szCs w:val="24"/>
              </w:rPr>
            </w:pPr>
            <w:r>
              <w:rPr>
                <w:sz w:val="24"/>
                <w:szCs w:val="24"/>
              </w:rPr>
              <w:t>1.3. </w:t>
            </w:r>
            <w:r w:rsidRPr="00657C4E">
              <w:rPr>
                <w:sz w:val="24"/>
                <w:szCs w:val="24"/>
              </w:rPr>
              <w:t>Основной государственный регистрационный</w:t>
            </w:r>
            <w:r>
              <w:rPr>
                <w:sz w:val="24"/>
                <w:szCs w:val="24"/>
              </w:rPr>
              <w:t xml:space="preserve"> </w:t>
            </w:r>
            <w:r w:rsidRPr="00657C4E">
              <w:rPr>
                <w:sz w:val="24"/>
                <w:szCs w:val="24"/>
              </w:rPr>
              <w:t>номер (ОГРН) эмитента (при наличии)</w:t>
            </w:r>
          </w:p>
        </w:tc>
        <w:tc>
          <w:tcPr>
            <w:tcW w:w="4819" w:type="dxa"/>
          </w:tcPr>
          <w:p w:rsidR="00DF7800" w:rsidRPr="00ED466D" w:rsidRDefault="00DF7800" w:rsidP="00DF7800">
            <w:pPr>
              <w:ind w:left="57"/>
              <w:rPr>
                <w:sz w:val="24"/>
                <w:szCs w:val="24"/>
              </w:rPr>
            </w:pPr>
            <w:r w:rsidRPr="00ED466D">
              <w:rPr>
                <w:b/>
                <w:i/>
                <w:sz w:val="24"/>
                <w:szCs w:val="24"/>
              </w:rPr>
              <w:t>1027700190572</w:t>
            </w:r>
          </w:p>
        </w:tc>
      </w:tr>
      <w:tr w:rsidR="00DF7800" w:rsidTr="00424CF2">
        <w:tblPrEx>
          <w:tblCellMar>
            <w:top w:w="0" w:type="dxa"/>
            <w:bottom w:w="0" w:type="dxa"/>
          </w:tblCellMar>
        </w:tblPrEx>
        <w:tc>
          <w:tcPr>
            <w:tcW w:w="6096" w:type="dxa"/>
          </w:tcPr>
          <w:p w:rsidR="00DF7800" w:rsidRDefault="00DF7800" w:rsidP="00D14C91">
            <w:pPr>
              <w:ind w:left="57" w:right="57"/>
              <w:rPr>
                <w:sz w:val="24"/>
                <w:szCs w:val="24"/>
              </w:rPr>
            </w:pPr>
            <w:r>
              <w:rPr>
                <w:sz w:val="24"/>
                <w:szCs w:val="24"/>
              </w:rPr>
              <w:t>1.4. </w:t>
            </w:r>
            <w:r w:rsidRPr="00657C4E">
              <w:rPr>
                <w:sz w:val="24"/>
                <w:szCs w:val="24"/>
              </w:rPr>
              <w:t>Идентификационный номер</w:t>
            </w:r>
            <w:r w:rsidR="00D14C91">
              <w:rPr>
                <w:sz w:val="24"/>
                <w:szCs w:val="24"/>
              </w:rPr>
              <w:t xml:space="preserve"> </w:t>
            </w:r>
            <w:r w:rsidRPr="00657C4E">
              <w:rPr>
                <w:sz w:val="24"/>
                <w:szCs w:val="24"/>
              </w:rPr>
              <w:t>налогоплателыцика</w:t>
            </w:r>
            <w:r w:rsidR="002F685F">
              <w:rPr>
                <w:sz w:val="24"/>
                <w:szCs w:val="24"/>
              </w:rPr>
              <w:t xml:space="preserve"> </w:t>
            </w:r>
            <w:r w:rsidRPr="00657C4E">
              <w:rPr>
                <w:sz w:val="24"/>
                <w:szCs w:val="24"/>
              </w:rPr>
              <w:t>(ИНН) эмитента (при наличии)</w:t>
            </w:r>
          </w:p>
        </w:tc>
        <w:tc>
          <w:tcPr>
            <w:tcW w:w="4819" w:type="dxa"/>
          </w:tcPr>
          <w:p w:rsidR="00DF7800" w:rsidRPr="00ED466D" w:rsidRDefault="00DF7800" w:rsidP="00DF7800">
            <w:pPr>
              <w:ind w:left="57"/>
              <w:rPr>
                <w:sz w:val="24"/>
                <w:szCs w:val="24"/>
              </w:rPr>
            </w:pPr>
            <w:r w:rsidRPr="00ED466D">
              <w:rPr>
                <w:b/>
                <w:bCs/>
                <w:i/>
                <w:iCs/>
                <w:sz w:val="24"/>
                <w:szCs w:val="24"/>
              </w:rPr>
              <w:t>7736216869</w:t>
            </w:r>
          </w:p>
        </w:tc>
      </w:tr>
      <w:tr w:rsidR="00DF7800" w:rsidTr="00424CF2">
        <w:tblPrEx>
          <w:tblCellMar>
            <w:top w:w="0" w:type="dxa"/>
            <w:bottom w:w="0" w:type="dxa"/>
          </w:tblCellMar>
        </w:tblPrEx>
        <w:tc>
          <w:tcPr>
            <w:tcW w:w="6096" w:type="dxa"/>
          </w:tcPr>
          <w:p w:rsidR="00DF7800" w:rsidRDefault="00DF7800" w:rsidP="00D14C91">
            <w:pPr>
              <w:ind w:left="57" w:right="57"/>
              <w:rPr>
                <w:sz w:val="24"/>
                <w:szCs w:val="24"/>
              </w:rPr>
            </w:pPr>
            <w:r>
              <w:rPr>
                <w:sz w:val="24"/>
                <w:szCs w:val="24"/>
              </w:rPr>
              <w:t>1.5. </w:t>
            </w:r>
            <w:r w:rsidRPr="00657C4E">
              <w:rPr>
                <w:sz w:val="24"/>
                <w:szCs w:val="24"/>
              </w:rPr>
              <w:t>Уникальный код эмитента, присвоенный Банком</w:t>
            </w:r>
            <w:r>
              <w:rPr>
                <w:sz w:val="24"/>
                <w:szCs w:val="24"/>
              </w:rPr>
              <w:t xml:space="preserve"> </w:t>
            </w:r>
            <w:r w:rsidRPr="00657C4E">
              <w:rPr>
                <w:sz w:val="24"/>
                <w:szCs w:val="24"/>
              </w:rPr>
              <w:t>России</w:t>
            </w:r>
          </w:p>
        </w:tc>
        <w:tc>
          <w:tcPr>
            <w:tcW w:w="4819" w:type="dxa"/>
          </w:tcPr>
          <w:p w:rsidR="00DF7800" w:rsidRPr="00ED466D" w:rsidRDefault="00DF7800" w:rsidP="00DF7800">
            <w:pPr>
              <w:ind w:left="57"/>
              <w:rPr>
                <w:sz w:val="24"/>
                <w:szCs w:val="24"/>
              </w:rPr>
            </w:pPr>
            <w:r w:rsidRPr="00ED466D">
              <w:rPr>
                <w:rStyle w:val="SUBST"/>
                <w:bCs/>
                <w:iCs/>
                <w:sz w:val="24"/>
                <w:szCs w:val="24"/>
              </w:rPr>
              <w:t>06556-А</w:t>
            </w:r>
          </w:p>
        </w:tc>
      </w:tr>
      <w:tr w:rsidR="00DF7800" w:rsidTr="00424CF2">
        <w:tblPrEx>
          <w:tblCellMar>
            <w:top w:w="0" w:type="dxa"/>
            <w:bottom w:w="0" w:type="dxa"/>
          </w:tblCellMar>
        </w:tblPrEx>
        <w:tc>
          <w:tcPr>
            <w:tcW w:w="6096" w:type="dxa"/>
          </w:tcPr>
          <w:p w:rsidR="00DF7800" w:rsidRDefault="00DF7800" w:rsidP="00D14C91">
            <w:pPr>
              <w:ind w:left="57" w:right="57"/>
              <w:rPr>
                <w:sz w:val="24"/>
                <w:szCs w:val="24"/>
              </w:rPr>
            </w:pPr>
            <w:r>
              <w:rPr>
                <w:sz w:val="24"/>
                <w:szCs w:val="24"/>
              </w:rPr>
              <w:t>1.6. Адрес страницы в сети «</w:t>
            </w:r>
            <w:r w:rsidRPr="00657C4E">
              <w:rPr>
                <w:sz w:val="24"/>
                <w:szCs w:val="24"/>
              </w:rPr>
              <w:t>Интернет», используемой</w:t>
            </w:r>
            <w:r>
              <w:rPr>
                <w:sz w:val="24"/>
                <w:szCs w:val="24"/>
              </w:rPr>
              <w:t xml:space="preserve"> </w:t>
            </w:r>
            <w:r w:rsidRPr="00657C4E">
              <w:rPr>
                <w:sz w:val="24"/>
                <w:szCs w:val="24"/>
              </w:rPr>
              <w:t>эмитентом для раскрытия информации</w:t>
            </w:r>
          </w:p>
        </w:tc>
        <w:tc>
          <w:tcPr>
            <w:tcW w:w="4819" w:type="dxa"/>
          </w:tcPr>
          <w:p w:rsidR="00DF7800" w:rsidRPr="00ED466D" w:rsidRDefault="00DF7800" w:rsidP="00DF7800">
            <w:pPr>
              <w:jc w:val="both"/>
              <w:rPr>
                <w:rStyle w:val="aa"/>
                <w:b/>
                <w:bCs/>
                <w:i/>
                <w:iCs/>
                <w:sz w:val="24"/>
                <w:szCs w:val="24"/>
              </w:rPr>
            </w:pPr>
            <w:hyperlink r:id="rId7" w:history="1">
              <w:r w:rsidRPr="00ED466D">
                <w:rPr>
                  <w:rStyle w:val="aa"/>
                  <w:b/>
                  <w:bCs/>
                  <w:i/>
                  <w:iCs/>
                  <w:sz w:val="24"/>
                  <w:szCs w:val="24"/>
                </w:rPr>
                <w:t>http://www.phosagro.ru/ori/item4157.php</w:t>
              </w:r>
            </w:hyperlink>
          </w:p>
          <w:p w:rsidR="00DF7800" w:rsidRPr="00ED466D" w:rsidRDefault="00DF7800" w:rsidP="00DF7800">
            <w:pPr>
              <w:jc w:val="both"/>
              <w:rPr>
                <w:bCs/>
                <w:iCs/>
                <w:color w:val="0000FF"/>
                <w:sz w:val="24"/>
                <w:szCs w:val="24"/>
                <w:u w:val="single"/>
              </w:rPr>
            </w:pPr>
            <w:r w:rsidRPr="00ED466D">
              <w:rPr>
                <w:rStyle w:val="aa"/>
                <w:b/>
                <w:bCs/>
                <w:i/>
                <w:iCs/>
                <w:sz w:val="24"/>
                <w:szCs w:val="24"/>
              </w:rPr>
              <w:t>http://www.e-disclosure.ru/portal/company.aspx?id=573</w:t>
            </w:r>
          </w:p>
        </w:tc>
      </w:tr>
      <w:tr w:rsidR="00DF7800" w:rsidTr="00424CF2">
        <w:tblPrEx>
          <w:tblCellMar>
            <w:top w:w="0" w:type="dxa"/>
            <w:bottom w:w="0" w:type="dxa"/>
          </w:tblCellMar>
        </w:tblPrEx>
        <w:tc>
          <w:tcPr>
            <w:tcW w:w="6096" w:type="dxa"/>
          </w:tcPr>
          <w:p w:rsidR="00DF7800" w:rsidRDefault="00DF7800" w:rsidP="00DF7800">
            <w:pPr>
              <w:ind w:left="57" w:right="57"/>
              <w:jc w:val="both"/>
              <w:rPr>
                <w:sz w:val="24"/>
                <w:szCs w:val="24"/>
              </w:rPr>
            </w:pPr>
            <w:r>
              <w:rPr>
                <w:sz w:val="24"/>
                <w:szCs w:val="24"/>
              </w:rPr>
              <w:t>1.7. </w:t>
            </w:r>
            <w:r w:rsidRPr="00657C4E">
              <w:rPr>
                <w:sz w:val="24"/>
                <w:szCs w:val="24"/>
              </w:rPr>
              <w:t>Дата наступления события (существенного</w:t>
            </w:r>
            <w:r>
              <w:rPr>
                <w:sz w:val="24"/>
                <w:szCs w:val="24"/>
              </w:rPr>
              <w:t xml:space="preserve"> </w:t>
            </w:r>
            <w:r w:rsidRPr="00657C4E">
              <w:rPr>
                <w:sz w:val="24"/>
                <w:szCs w:val="24"/>
              </w:rPr>
              <w:t>факта), о котором составлено сообщение</w:t>
            </w:r>
          </w:p>
        </w:tc>
        <w:tc>
          <w:tcPr>
            <w:tcW w:w="4819" w:type="dxa"/>
          </w:tcPr>
          <w:p w:rsidR="00DF7800" w:rsidRPr="00ED466D" w:rsidRDefault="001861ED" w:rsidP="00855B6D">
            <w:pPr>
              <w:pStyle w:val="ab"/>
              <w:ind w:left="0"/>
              <w:jc w:val="both"/>
            </w:pPr>
            <w:r>
              <w:rPr>
                <w:rStyle w:val="SUBST"/>
                <w:bCs/>
                <w:iCs/>
                <w:sz w:val="24"/>
              </w:rPr>
              <w:t>18 августа</w:t>
            </w:r>
            <w:r w:rsidR="00EB3FB1">
              <w:rPr>
                <w:rStyle w:val="SUBST"/>
                <w:bCs/>
                <w:iCs/>
                <w:sz w:val="24"/>
              </w:rPr>
              <w:t xml:space="preserve"> </w:t>
            </w:r>
            <w:r w:rsidR="005C146C" w:rsidRPr="001D0E80">
              <w:rPr>
                <w:rStyle w:val="SUBST"/>
                <w:bCs/>
                <w:iCs/>
                <w:sz w:val="24"/>
              </w:rPr>
              <w:t>2022 г.</w:t>
            </w:r>
          </w:p>
        </w:tc>
      </w:tr>
    </w:tbl>
    <w:p w:rsidR="00EA1DAB" w:rsidRPr="00EA2986" w:rsidRDefault="00EA1DAB" w:rsidP="00EA1DAB">
      <w:pPr>
        <w:rPr>
          <w:sz w:val="16"/>
          <w:szCs w:val="16"/>
        </w:rPr>
      </w:pP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15"/>
      </w:tblGrid>
      <w:tr w:rsidR="00EA1DAB" w:rsidTr="00424CF2">
        <w:tblPrEx>
          <w:tblCellMar>
            <w:top w:w="0" w:type="dxa"/>
            <w:bottom w:w="0" w:type="dxa"/>
          </w:tblCellMar>
        </w:tblPrEx>
        <w:tc>
          <w:tcPr>
            <w:tcW w:w="10915" w:type="dxa"/>
          </w:tcPr>
          <w:p w:rsidR="00EA1DAB" w:rsidRDefault="00EA1DAB" w:rsidP="00FD22EF">
            <w:pPr>
              <w:jc w:val="center"/>
              <w:rPr>
                <w:sz w:val="24"/>
                <w:szCs w:val="24"/>
              </w:rPr>
            </w:pPr>
            <w:r>
              <w:rPr>
                <w:sz w:val="24"/>
                <w:szCs w:val="24"/>
              </w:rPr>
              <w:t>2. Содержание сообщения</w:t>
            </w:r>
          </w:p>
        </w:tc>
      </w:tr>
      <w:tr w:rsidR="00EA1DAB" w:rsidTr="00424CF2">
        <w:tblPrEx>
          <w:tblCellMar>
            <w:top w:w="0" w:type="dxa"/>
            <w:bottom w:w="0" w:type="dxa"/>
          </w:tblCellMar>
        </w:tblPrEx>
        <w:tc>
          <w:tcPr>
            <w:tcW w:w="10915" w:type="dxa"/>
          </w:tcPr>
          <w:p w:rsidR="00F1623A" w:rsidRPr="009F04D2" w:rsidRDefault="009F04D2" w:rsidP="009F04D2">
            <w:pPr>
              <w:shd w:val="clear" w:color="auto" w:fill="FFFFFF"/>
              <w:ind w:left="256" w:right="115" w:firstLine="709"/>
              <w:jc w:val="center"/>
              <w:rPr>
                <w:b/>
                <w:sz w:val="24"/>
                <w:szCs w:val="24"/>
              </w:rPr>
            </w:pPr>
            <w:r w:rsidRPr="009F04D2">
              <w:rPr>
                <w:b/>
                <w:sz w:val="24"/>
                <w:szCs w:val="24"/>
              </w:rPr>
              <w:t>ИНСАЙДЕРСКАЯ ИНФОРМАЦИЯ</w:t>
            </w:r>
          </w:p>
          <w:p w:rsidR="001861ED" w:rsidRPr="001861ED" w:rsidRDefault="001861ED" w:rsidP="001861ED">
            <w:pPr>
              <w:jc w:val="center"/>
              <w:rPr>
                <w:b/>
                <w:sz w:val="24"/>
                <w:szCs w:val="24"/>
              </w:rPr>
            </w:pPr>
            <w:r w:rsidRPr="001861ED">
              <w:rPr>
                <w:b/>
                <w:sz w:val="24"/>
                <w:szCs w:val="24"/>
              </w:rPr>
              <w:t>ФосАгро публикует операционные и финансовые результаты за 6 месяцев 2022 г.</w:t>
            </w:r>
          </w:p>
          <w:p w:rsidR="001861ED" w:rsidRPr="001861ED" w:rsidRDefault="001861ED" w:rsidP="001861ED">
            <w:pPr>
              <w:jc w:val="center"/>
              <w:rPr>
                <w:sz w:val="24"/>
                <w:szCs w:val="24"/>
              </w:rPr>
            </w:pPr>
          </w:p>
          <w:p w:rsidR="001861ED" w:rsidRPr="001861ED" w:rsidRDefault="001861ED" w:rsidP="001861ED">
            <w:pPr>
              <w:jc w:val="both"/>
              <w:rPr>
                <w:sz w:val="24"/>
                <w:szCs w:val="24"/>
              </w:rPr>
            </w:pPr>
            <w:r w:rsidRPr="001861ED">
              <w:rPr>
                <w:b/>
                <w:sz w:val="24"/>
                <w:szCs w:val="24"/>
              </w:rPr>
              <w:t xml:space="preserve">Москва. 18 августа 2022 г. </w:t>
            </w:r>
            <w:r w:rsidRPr="001861ED">
              <w:rPr>
                <w:sz w:val="24"/>
                <w:szCs w:val="24"/>
              </w:rPr>
              <w:t xml:space="preserve">Группа «ФосАгро» (далее «ФосАгро» или «Компания», тикер на Московской и Лондонской фондовых биржах: PHOR), российская вертикально-интегрированная компания, в состав которой входит один из крупнейших в мире производителей фосфорсодержащих минеральных удобрений, сегодня публикует консолидированную финансовую отчетность по МСФО за 6 месяцев 2022 года. </w:t>
            </w:r>
          </w:p>
          <w:p w:rsidR="001861ED" w:rsidRPr="001861ED" w:rsidRDefault="001861ED" w:rsidP="001861ED">
            <w:pPr>
              <w:pStyle w:val="1"/>
              <w:spacing w:after="120" w:line="240" w:lineRule="auto"/>
              <w:ind w:firstLine="567"/>
              <w:jc w:val="both"/>
              <w:rPr>
                <w:rFonts w:ascii="Times New Roman" w:hAnsi="Times New Roman" w:cs="Times New Roman"/>
                <w:b/>
                <w:bCs/>
                <w:sz w:val="24"/>
                <w:szCs w:val="24"/>
              </w:rPr>
            </w:pPr>
            <w:r w:rsidRPr="001861ED">
              <w:rPr>
                <w:rFonts w:ascii="Times New Roman" w:hAnsi="Times New Roman" w:cs="Times New Roman"/>
                <w:b/>
                <w:bCs/>
                <w:sz w:val="24"/>
                <w:szCs w:val="24"/>
              </w:rPr>
              <w:t>Основные результаты за 6 месяцев 2022 г.:</w:t>
            </w:r>
          </w:p>
          <w:p w:rsidR="001861ED" w:rsidRPr="001861ED" w:rsidRDefault="001861ED" w:rsidP="001861ED">
            <w:pPr>
              <w:ind w:firstLine="574"/>
              <w:jc w:val="both"/>
              <w:rPr>
                <w:sz w:val="24"/>
                <w:szCs w:val="24"/>
              </w:rPr>
            </w:pPr>
            <w:r w:rsidRPr="001861ED">
              <w:rPr>
                <w:sz w:val="24"/>
                <w:szCs w:val="24"/>
              </w:rPr>
              <w:t xml:space="preserve">По итогам 6 месяцев 2022 года производство минеральных удобрений увеличилось на 5,2% к аналогичному периоду прошлого года и превысило 5,3 млн тонн. Данного роста удалось достичь благодаря выходу на полную мощность новых производственных агрегатов, запущенных в рамках реализации комплексной программы долгосрочного развития компании. </w:t>
            </w:r>
          </w:p>
          <w:p w:rsidR="001861ED" w:rsidRPr="001861ED" w:rsidRDefault="001861ED" w:rsidP="001861ED">
            <w:pPr>
              <w:ind w:firstLine="574"/>
              <w:jc w:val="both"/>
              <w:rPr>
                <w:sz w:val="24"/>
                <w:szCs w:val="24"/>
              </w:rPr>
            </w:pPr>
            <w:r w:rsidRPr="001861ED">
              <w:rPr>
                <w:sz w:val="24"/>
                <w:szCs w:val="24"/>
              </w:rPr>
              <w:t>Продажи минеральных удобрений за 6 месяцев 2022 года выросли на 10,2% к аналогичному периоду прошлого года и составили почти 5,7 млн тонн. Данный рост был обеспечен увеличением объемов производства, снижением уровня запасов (формируемых в период межсезонья) и высоким спросом на удобрения на российском и глобальных рынках.</w:t>
            </w:r>
          </w:p>
          <w:p w:rsidR="001861ED" w:rsidRPr="001861ED" w:rsidRDefault="001861ED" w:rsidP="001861ED">
            <w:pPr>
              <w:ind w:firstLine="574"/>
              <w:jc w:val="both"/>
              <w:rPr>
                <w:sz w:val="24"/>
                <w:szCs w:val="24"/>
              </w:rPr>
            </w:pPr>
            <w:r w:rsidRPr="001861ED">
              <w:rPr>
                <w:sz w:val="24"/>
                <w:szCs w:val="24"/>
              </w:rPr>
              <w:t xml:space="preserve">Выручка за 6 месяцев 2022 года выросла на 90,9% к уровню аналогичного периода прошлого года и составила 336,5 млрд рублей (4,4 млрд долларов). Рост стал следствием реализации масштабной программы модернизации и строительства новых производств, что позволило нарастить объемы выпуска минеральных удобрений и существенно увеличить производительность оборудования. </w:t>
            </w:r>
          </w:p>
          <w:p w:rsidR="001861ED" w:rsidRPr="001861ED" w:rsidRDefault="001861ED" w:rsidP="001861ED">
            <w:pPr>
              <w:ind w:firstLine="574"/>
              <w:jc w:val="both"/>
              <w:rPr>
                <w:sz w:val="24"/>
                <w:szCs w:val="24"/>
              </w:rPr>
            </w:pPr>
            <w:r w:rsidRPr="001861ED">
              <w:rPr>
                <w:sz w:val="24"/>
                <w:szCs w:val="24"/>
              </w:rPr>
              <w:t xml:space="preserve">Также на увеличение выручки повлияло улучшение структуры реализуемой продукции компании в пользу высокомаржинальных видов удобрений, пользующихся высоким спросом в России и на мировых рынках. </w:t>
            </w:r>
          </w:p>
          <w:p w:rsidR="001861ED" w:rsidRPr="001861ED" w:rsidRDefault="001861ED" w:rsidP="001861ED">
            <w:pPr>
              <w:ind w:firstLine="574"/>
              <w:jc w:val="both"/>
              <w:rPr>
                <w:sz w:val="24"/>
                <w:szCs w:val="24"/>
              </w:rPr>
            </w:pPr>
            <w:r w:rsidRPr="001861ED">
              <w:rPr>
                <w:sz w:val="24"/>
                <w:szCs w:val="24"/>
              </w:rPr>
              <w:t xml:space="preserve">За 6 месяцев 2022 года скорректированная </w:t>
            </w:r>
            <w:r w:rsidRPr="001861ED">
              <w:rPr>
                <w:sz w:val="24"/>
                <w:szCs w:val="24"/>
                <w:lang w:val="en-US"/>
              </w:rPr>
              <w:t>EBITDA</w:t>
            </w:r>
            <w:r w:rsidRPr="001861ED">
              <w:rPr>
                <w:sz w:val="24"/>
                <w:szCs w:val="24"/>
              </w:rPr>
              <w:t xml:space="preserve"> компании увеличилась на 123,8% по сравнению с 6 месяцами 2021 года, - до 165,3 млрд рублей (2,2 млрд долларов США). Рентабельность по </w:t>
            </w:r>
            <w:r w:rsidRPr="001861ED">
              <w:rPr>
                <w:sz w:val="24"/>
                <w:szCs w:val="24"/>
                <w:lang w:val="en-US"/>
              </w:rPr>
              <w:t>EBITDA</w:t>
            </w:r>
            <w:r w:rsidRPr="001861ED">
              <w:rPr>
                <w:sz w:val="24"/>
                <w:szCs w:val="24"/>
              </w:rPr>
              <w:t xml:space="preserve"> за этот период выросла до 49,1%. </w:t>
            </w:r>
          </w:p>
          <w:p w:rsidR="001861ED" w:rsidRPr="001861ED" w:rsidRDefault="001861ED" w:rsidP="001861ED">
            <w:pPr>
              <w:ind w:firstLine="574"/>
              <w:jc w:val="both"/>
              <w:rPr>
                <w:sz w:val="24"/>
                <w:szCs w:val="24"/>
              </w:rPr>
            </w:pPr>
            <w:r w:rsidRPr="001861ED">
              <w:rPr>
                <w:sz w:val="24"/>
                <w:szCs w:val="24"/>
              </w:rPr>
              <w:t xml:space="preserve">За 6 месяцев 2022 года скорректированный свободный денежный поток компании составил 77,6 млрд рублей (1,0 млрд долларов США) что на 126,8% выше уровня аналогичного периода прошлого года. </w:t>
            </w:r>
          </w:p>
          <w:p w:rsidR="001861ED" w:rsidRPr="001861ED" w:rsidRDefault="001861ED" w:rsidP="001861ED">
            <w:pPr>
              <w:ind w:firstLine="574"/>
              <w:jc w:val="both"/>
              <w:rPr>
                <w:sz w:val="24"/>
                <w:szCs w:val="24"/>
              </w:rPr>
            </w:pPr>
            <w:r w:rsidRPr="001861ED">
              <w:rPr>
                <w:sz w:val="24"/>
                <w:szCs w:val="24"/>
              </w:rPr>
              <w:t xml:space="preserve">Чистый долг по состоянию на 30 июня 2022 года снизился на 91,6 млрд рублей по сравнению с концом 2021 года и составил 62,1 млрд рублей </w:t>
            </w:r>
            <w:r w:rsidRPr="001861ED">
              <w:rPr>
                <w:sz w:val="24"/>
                <w:szCs w:val="24"/>
              </w:rPr>
              <w:br/>
              <w:t xml:space="preserve">(1,2 млрд долларов США). Соотношение чистого долга к показателю скорректированная EBITDA на конец 2 квартала 2022 года снизилось до 0,22х. </w:t>
            </w:r>
          </w:p>
          <w:p w:rsidR="001861ED" w:rsidRPr="001861ED" w:rsidRDefault="001861ED" w:rsidP="001861ED">
            <w:pPr>
              <w:outlineLvl w:val="0"/>
              <w:rPr>
                <w:b/>
                <w:sz w:val="24"/>
                <w:szCs w:val="24"/>
              </w:rPr>
            </w:pPr>
            <w:r w:rsidRPr="001861ED">
              <w:rPr>
                <w:b/>
                <w:sz w:val="24"/>
                <w:szCs w:val="24"/>
              </w:rPr>
              <w:t>Основные финансовые и операционные показатели:</w:t>
            </w:r>
          </w:p>
          <w:tbl>
            <w:tblPr>
              <w:tblW w:w="8900" w:type="dxa"/>
              <w:tblLayout w:type="fixed"/>
              <w:tblLook w:val="04A0" w:firstRow="1" w:lastRow="0" w:firstColumn="1" w:lastColumn="0" w:noHBand="0" w:noVBand="1"/>
            </w:tblPr>
            <w:tblGrid>
              <w:gridCol w:w="4678"/>
              <w:gridCol w:w="1418"/>
              <w:gridCol w:w="1275"/>
              <w:gridCol w:w="1529"/>
            </w:tblGrid>
            <w:tr w:rsidR="001861ED" w:rsidRPr="001861ED" w:rsidTr="00A14E2F">
              <w:trPr>
                <w:trHeight w:val="315"/>
              </w:trPr>
              <w:tc>
                <w:tcPr>
                  <w:tcW w:w="8900" w:type="dxa"/>
                  <w:gridSpan w:val="4"/>
                  <w:tcBorders>
                    <w:top w:val="nil"/>
                    <w:left w:val="nil"/>
                    <w:bottom w:val="single" w:sz="4" w:space="0" w:color="auto"/>
                    <w:right w:val="nil"/>
                  </w:tcBorders>
                  <w:shd w:val="clear" w:color="000000" w:fill="2B87A2"/>
                  <w:vAlign w:val="center"/>
                  <w:hideMark/>
                </w:tcPr>
                <w:p w:rsidR="001861ED" w:rsidRPr="001861ED" w:rsidRDefault="001861ED" w:rsidP="001861ED">
                  <w:pPr>
                    <w:jc w:val="center"/>
                    <w:rPr>
                      <w:b/>
                      <w:bCs/>
                      <w:color w:val="FFFFFF"/>
                      <w:sz w:val="24"/>
                      <w:szCs w:val="24"/>
                    </w:rPr>
                  </w:pPr>
                  <w:r w:rsidRPr="001861ED">
                    <w:rPr>
                      <w:b/>
                      <w:bCs/>
                      <w:color w:val="FFFFFF"/>
                      <w:sz w:val="24"/>
                      <w:szCs w:val="24"/>
                    </w:rPr>
                    <w:t>ФИНАНСОВЫЕ ПОКАЗАТЕЛИ</w:t>
                  </w:r>
                </w:p>
              </w:tc>
            </w:tr>
            <w:tr w:rsidR="001861ED" w:rsidRPr="001861ED" w:rsidTr="00A14E2F">
              <w:trPr>
                <w:trHeight w:val="470"/>
              </w:trPr>
              <w:tc>
                <w:tcPr>
                  <w:tcW w:w="4678" w:type="dxa"/>
                  <w:tcBorders>
                    <w:top w:val="nil"/>
                    <w:left w:val="nil"/>
                    <w:bottom w:val="single" w:sz="8" w:space="0" w:color="auto"/>
                    <w:right w:val="nil"/>
                  </w:tcBorders>
                  <w:shd w:val="clear" w:color="auto" w:fill="auto"/>
                  <w:vAlign w:val="center"/>
                  <w:hideMark/>
                </w:tcPr>
                <w:p w:rsidR="001861ED" w:rsidRPr="001861ED" w:rsidRDefault="001861ED" w:rsidP="001861ED">
                  <w:pPr>
                    <w:rPr>
                      <w:b/>
                      <w:bCs/>
                      <w:color w:val="000000"/>
                      <w:sz w:val="24"/>
                      <w:szCs w:val="24"/>
                    </w:rPr>
                  </w:pPr>
                  <w:r w:rsidRPr="001861ED">
                    <w:rPr>
                      <w:b/>
                      <w:bCs/>
                      <w:color w:val="000000"/>
                      <w:sz w:val="24"/>
                      <w:szCs w:val="24"/>
                    </w:rPr>
                    <w:lastRenderedPageBreak/>
                    <w:t>млн руб.</w:t>
                  </w:r>
                </w:p>
              </w:tc>
              <w:tc>
                <w:tcPr>
                  <w:tcW w:w="1418" w:type="dxa"/>
                  <w:tcBorders>
                    <w:top w:val="nil"/>
                    <w:left w:val="nil"/>
                    <w:bottom w:val="single" w:sz="8" w:space="0" w:color="auto"/>
                    <w:right w:val="nil"/>
                  </w:tcBorders>
                  <w:shd w:val="clear" w:color="auto" w:fill="auto"/>
                  <w:vAlign w:val="center"/>
                </w:tcPr>
                <w:p w:rsidR="001861ED" w:rsidRPr="001861ED" w:rsidRDefault="001861ED" w:rsidP="001861ED">
                  <w:pPr>
                    <w:jc w:val="center"/>
                    <w:rPr>
                      <w:b/>
                      <w:bCs/>
                      <w:color w:val="000000"/>
                      <w:sz w:val="24"/>
                      <w:szCs w:val="24"/>
                    </w:rPr>
                  </w:pPr>
                  <w:r w:rsidRPr="001861ED">
                    <w:rPr>
                      <w:b/>
                      <w:bCs/>
                      <w:color w:val="000000"/>
                      <w:sz w:val="24"/>
                      <w:szCs w:val="24"/>
                    </w:rPr>
                    <w:t>6 мес.</w:t>
                  </w:r>
                  <w:r w:rsidRPr="001861ED">
                    <w:rPr>
                      <w:b/>
                      <w:bCs/>
                      <w:color w:val="000000"/>
                      <w:sz w:val="24"/>
                      <w:szCs w:val="24"/>
                    </w:rPr>
                    <w:br/>
                    <w:t>2022</w:t>
                  </w:r>
                </w:p>
              </w:tc>
              <w:tc>
                <w:tcPr>
                  <w:tcW w:w="1275" w:type="dxa"/>
                  <w:tcBorders>
                    <w:top w:val="nil"/>
                    <w:left w:val="nil"/>
                    <w:bottom w:val="single" w:sz="8" w:space="0" w:color="auto"/>
                    <w:right w:val="nil"/>
                  </w:tcBorders>
                  <w:shd w:val="clear" w:color="auto" w:fill="auto"/>
                  <w:vAlign w:val="center"/>
                </w:tcPr>
                <w:p w:rsidR="001861ED" w:rsidRPr="001861ED" w:rsidRDefault="001861ED" w:rsidP="001861ED">
                  <w:pPr>
                    <w:jc w:val="center"/>
                    <w:rPr>
                      <w:b/>
                      <w:bCs/>
                      <w:color w:val="000000"/>
                      <w:sz w:val="24"/>
                      <w:szCs w:val="24"/>
                    </w:rPr>
                  </w:pPr>
                  <w:r w:rsidRPr="001861ED">
                    <w:rPr>
                      <w:b/>
                      <w:bCs/>
                      <w:color w:val="000000"/>
                      <w:sz w:val="24"/>
                      <w:szCs w:val="24"/>
                    </w:rPr>
                    <w:t>6 мес.</w:t>
                  </w:r>
                  <w:r w:rsidRPr="001861ED">
                    <w:rPr>
                      <w:b/>
                      <w:bCs/>
                      <w:color w:val="000000"/>
                      <w:sz w:val="24"/>
                      <w:szCs w:val="24"/>
                    </w:rPr>
                    <w:br/>
                    <w:t>2021</w:t>
                  </w:r>
                </w:p>
              </w:tc>
              <w:tc>
                <w:tcPr>
                  <w:tcW w:w="1529" w:type="dxa"/>
                  <w:tcBorders>
                    <w:top w:val="nil"/>
                    <w:left w:val="nil"/>
                    <w:bottom w:val="single" w:sz="8" w:space="0" w:color="auto"/>
                    <w:right w:val="nil"/>
                  </w:tcBorders>
                  <w:shd w:val="clear" w:color="000000" w:fill="E3F1F7"/>
                  <w:vAlign w:val="center"/>
                </w:tcPr>
                <w:p w:rsidR="001861ED" w:rsidRPr="001861ED" w:rsidRDefault="001861ED" w:rsidP="001861ED">
                  <w:pPr>
                    <w:jc w:val="center"/>
                    <w:rPr>
                      <w:b/>
                      <w:bCs/>
                      <w:color w:val="000000"/>
                      <w:sz w:val="24"/>
                      <w:szCs w:val="24"/>
                    </w:rPr>
                  </w:pPr>
                  <w:r w:rsidRPr="001861ED">
                    <w:rPr>
                      <w:b/>
                      <w:bCs/>
                      <w:color w:val="000000"/>
                      <w:sz w:val="24"/>
                      <w:szCs w:val="24"/>
                    </w:rPr>
                    <w:t>Изм.</w:t>
                  </w:r>
                  <w:r w:rsidRPr="001861ED">
                    <w:rPr>
                      <w:b/>
                      <w:bCs/>
                      <w:color w:val="000000"/>
                      <w:sz w:val="24"/>
                      <w:szCs w:val="24"/>
                    </w:rPr>
                    <w:br/>
                    <w:t xml:space="preserve"> %</w:t>
                  </w:r>
                </w:p>
              </w:tc>
            </w:tr>
            <w:tr w:rsidR="001861ED" w:rsidRPr="001861ED" w:rsidTr="00A14E2F">
              <w:trPr>
                <w:trHeight w:val="290"/>
              </w:trPr>
              <w:tc>
                <w:tcPr>
                  <w:tcW w:w="4678" w:type="dxa"/>
                  <w:tcBorders>
                    <w:top w:val="nil"/>
                    <w:left w:val="nil"/>
                    <w:bottom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Выручка</w:t>
                  </w:r>
                </w:p>
              </w:tc>
              <w:tc>
                <w:tcPr>
                  <w:tcW w:w="1418"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336 509</w:t>
                  </w:r>
                </w:p>
              </w:tc>
              <w:tc>
                <w:tcPr>
                  <w:tcW w:w="1275"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176 261</w:t>
                  </w:r>
                </w:p>
              </w:tc>
              <w:tc>
                <w:tcPr>
                  <w:tcW w:w="1529" w:type="dxa"/>
                  <w:tcBorders>
                    <w:top w:val="nil"/>
                    <w:left w:val="nil"/>
                    <w:bottom w:val="nil"/>
                    <w:right w:val="nil"/>
                  </w:tcBorders>
                  <w:shd w:val="clear" w:color="000000" w:fill="E3F1F7"/>
                  <w:vAlign w:val="center"/>
                </w:tcPr>
                <w:p w:rsidR="001861ED" w:rsidRPr="001861ED" w:rsidRDefault="001861ED" w:rsidP="001861ED">
                  <w:pPr>
                    <w:jc w:val="center"/>
                    <w:rPr>
                      <w:i/>
                      <w:iCs/>
                      <w:color w:val="000000"/>
                      <w:sz w:val="24"/>
                      <w:szCs w:val="24"/>
                    </w:rPr>
                  </w:pPr>
                  <w:r w:rsidRPr="001861ED">
                    <w:rPr>
                      <w:i/>
                      <w:iCs/>
                      <w:color w:val="000000"/>
                      <w:sz w:val="24"/>
                      <w:szCs w:val="24"/>
                      <w:lang w:val="en-US"/>
                    </w:rPr>
                    <w:t>90,9%</w:t>
                  </w:r>
                </w:p>
              </w:tc>
            </w:tr>
            <w:tr w:rsidR="001861ED" w:rsidRPr="001861ED" w:rsidTr="00A14E2F">
              <w:trPr>
                <w:trHeight w:val="290"/>
              </w:trPr>
              <w:tc>
                <w:tcPr>
                  <w:tcW w:w="4678" w:type="dxa"/>
                  <w:tcBorders>
                    <w:top w:val="nil"/>
                    <w:left w:val="nil"/>
                    <w:bottom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EBITDA*</w:t>
                  </w:r>
                </w:p>
              </w:tc>
              <w:tc>
                <w:tcPr>
                  <w:tcW w:w="1418"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135 548</w:t>
                  </w:r>
                </w:p>
              </w:tc>
              <w:tc>
                <w:tcPr>
                  <w:tcW w:w="1275"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73 094</w:t>
                  </w:r>
                </w:p>
              </w:tc>
              <w:tc>
                <w:tcPr>
                  <w:tcW w:w="1529" w:type="dxa"/>
                  <w:tcBorders>
                    <w:top w:val="nil"/>
                    <w:left w:val="nil"/>
                    <w:bottom w:val="nil"/>
                    <w:right w:val="nil"/>
                  </w:tcBorders>
                  <w:shd w:val="clear" w:color="000000" w:fill="E3F1F7"/>
                  <w:vAlign w:val="center"/>
                </w:tcPr>
                <w:p w:rsidR="001861ED" w:rsidRPr="001861ED" w:rsidRDefault="001861ED" w:rsidP="001861ED">
                  <w:pPr>
                    <w:jc w:val="center"/>
                    <w:rPr>
                      <w:i/>
                      <w:iCs/>
                      <w:color w:val="000000"/>
                      <w:sz w:val="24"/>
                      <w:szCs w:val="24"/>
                    </w:rPr>
                  </w:pPr>
                  <w:r w:rsidRPr="001861ED">
                    <w:rPr>
                      <w:i/>
                      <w:iCs/>
                      <w:color w:val="000000"/>
                      <w:sz w:val="24"/>
                      <w:szCs w:val="24"/>
                    </w:rPr>
                    <w:t>85,4%</w:t>
                  </w:r>
                </w:p>
              </w:tc>
            </w:tr>
            <w:tr w:rsidR="001861ED" w:rsidRPr="001861ED" w:rsidTr="00A14E2F">
              <w:trPr>
                <w:trHeight w:val="290"/>
              </w:trPr>
              <w:tc>
                <w:tcPr>
                  <w:tcW w:w="4678" w:type="dxa"/>
                  <w:tcBorders>
                    <w:top w:val="nil"/>
                    <w:left w:val="nil"/>
                    <w:bottom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EBITDA, скорр.**</w:t>
                  </w:r>
                </w:p>
              </w:tc>
              <w:tc>
                <w:tcPr>
                  <w:tcW w:w="1418"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lang w:val="en-US"/>
                    </w:rPr>
                  </w:pPr>
                  <w:r w:rsidRPr="001861ED">
                    <w:rPr>
                      <w:color w:val="000000"/>
                      <w:sz w:val="24"/>
                      <w:szCs w:val="24"/>
                    </w:rPr>
                    <w:t>165 32</w:t>
                  </w:r>
                  <w:r w:rsidRPr="001861ED">
                    <w:rPr>
                      <w:color w:val="000000"/>
                      <w:sz w:val="24"/>
                      <w:szCs w:val="24"/>
                      <w:lang w:val="en-US"/>
                    </w:rPr>
                    <w:t>2</w:t>
                  </w:r>
                </w:p>
              </w:tc>
              <w:tc>
                <w:tcPr>
                  <w:tcW w:w="1275"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73 860</w:t>
                  </w:r>
                </w:p>
              </w:tc>
              <w:tc>
                <w:tcPr>
                  <w:tcW w:w="1529" w:type="dxa"/>
                  <w:tcBorders>
                    <w:top w:val="nil"/>
                    <w:left w:val="nil"/>
                    <w:bottom w:val="nil"/>
                    <w:right w:val="nil"/>
                  </w:tcBorders>
                  <w:shd w:val="clear" w:color="000000" w:fill="E3F1F7"/>
                  <w:vAlign w:val="center"/>
                </w:tcPr>
                <w:p w:rsidR="001861ED" w:rsidRPr="001861ED" w:rsidRDefault="001861ED" w:rsidP="001861ED">
                  <w:pPr>
                    <w:jc w:val="center"/>
                    <w:rPr>
                      <w:i/>
                      <w:iCs/>
                      <w:color w:val="000000"/>
                      <w:sz w:val="24"/>
                      <w:szCs w:val="24"/>
                    </w:rPr>
                  </w:pPr>
                  <w:r w:rsidRPr="001861ED">
                    <w:rPr>
                      <w:i/>
                      <w:iCs/>
                      <w:color w:val="000000"/>
                      <w:sz w:val="24"/>
                      <w:szCs w:val="24"/>
                    </w:rPr>
                    <w:t>123,8%</w:t>
                  </w:r>
                </w:p>
              </w:tc>
            </w:tr>
            <w:tr w:rsidR="001861ED" w:rsidRPr="001861ED" w:rsidTr="00A14E2F">
              <w:trPr>
                <w:trHeight w:val="290"/>
              </w:trPr>
              <w:tc>
                <w:tcPr>
                  <w:tcW w:w="4678" w:type="dxa"/>
                  <w:tcBorders>
                    <w:top w:val="nil"/>
                    <w:left w:val="nil"/>
                    <w:bottom w:val="nil"/>
                    <w:right w:val="nil"/>
                  </w:tcBorders>
                  <w:shd w:val="clear" w:color="auto" w:fill="auto"/>
                  <w:vAlign w:val="center"/>
                </w:tcPr>
                <w:p w:rsidR="001861ED" w:rsidRPr="001861ED" w:rsidRDefault="001861ED" w:rsidP="001861ED">
                  <w:pPr>
                    <w:rPr>
                      <w:color w:val="000000"/>
                      <w:sz w:val="24"/>
                      <w:szCs w:val="24"/>
                    </w:rPr>
                  </w:pPr>
                  <w:r w:rsidRPr="001861ED">
                    <w:rPr>
                      <w:color w:val="000000"/>
                      <w:sz w:val="24"/>
                      <w:szCs w:val="24"/>
                    </w:rPr>
                    <w:t>Рент. по скорр. EBITDA</w:t>
                  </w:r>
                </w:p>
              </w:tc>
              <w:tc>
                <w:tcPr>
                  <w:tcW w:w="1418"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49,1%</w:t>
                  </w:r>
                </w:p>
              </w:tc>
              <w:tc>
                <w:tcPr>
                  <w:tcW w:w="1275"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41,9%</w:t>
                  </w:r>
                </w:p>
              </w:tc>
              <w:tc>
                <w:tcPr>
                  <w:tcW w:w="1529" w:type="dxa"/>
                  <w:tcBorders>
                    <w:top w:val="nil"/>
                    <w:left w:val="nil"/>
                    <w:bottom w:val="nil"/>
                    <w:right w:val="nil"/>
                  </w:tcBorders>
                  <w:shd w:val="clear" w:color="000000" w:fill="E3F1F7"/>
                  <w:vAlign w:val="center"/>
                </w:tcPr>
                <w:p w:rsidR="001861ED" w:rsidRPr="001861ED" w:rsidRDefault="001861ED" w:rsidP="001861ED">
                  <w:pPr>
                    <w:jc w:val="center"/>
                    <w:rPr>
                      <w:i/>
                      <w:iCs/>
                      <w:color w:val="000000"/>
                      <w:sz w:val="24"/>
                      <w:szCs w:val="24"/>
                    </w:rPr>
                  </w:pPr>
                </w:p>
              </w:tc>
            </w:tr>
            <w:tr w:rsidR="001861ED" w:rsidRPr="001861ED" w:rsidTr="00A14E2F">
              <w:trPr>
                <w:trHeight w:val="290"/>
              </w:trPr>
              <w:tc>
                <w:tcPr>
                  <w:tcW w:w="4678" w:type="dxa"/>
                  <w:tcBorders>
                    <w:top w:val="nil"/>
                    <w:left w:val="nil"/>
                    <w:bottom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Чистая прибыль</w:t>
                  </w:r>
                </w:p>
              </w:tc>
              <w:tc>
                <w:tcPr>
                  <w:tcW w:w="1418"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129 048</w:t>
                  </w:r>
                </w:p>
              </w:tc>
              <w:tc>
                <w:tcPr>
                  <w:tcW w:w="1275"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48 652</w:t>
                  </w:r>
                </w:p>
              </w:tc>
              <w:tc>
                <w:tcPr>
                  <w:tcW w:w="1529" w:type="dxa"/>
                  <w:tcBorders>
                    <w:top w:val="nil"/>
                    <w:left w:val="nil"/>
                    <w:bottom w:val="nil"/>
                    <w:right w:val="nil"/>
                  </w:tcBorders>
                  <w:shd w:val="clear" w:color="000000" w:fill="E3F1F7"/>
                  <w:vAlign w:val="center"/>
                </w:tcPr>
                <w:p w:rsidR="001861ED" w:rsidRPr="001861ED" w:rsidRDefault="001861ED" w:rsidP="001861ED">
                  <w:pPr>
                    <w:jc w:val="center"/>
                    <w:rPr>
                      <w:i/>
                      <w:iCs/>
                      <w:color w:val="000000"/>
                      <w:sz w:val="24"/>
                      <w:szCs w:val="24"/>
                    </w:rPr>
                  </w:pPr>
                  <w:r w:rsidRPr="001861ED">
                    <w:rPr>
                      <w:i/>
                      <w:iCs/>
                      <w:color w:val="000000"/>
                      <w:sz w:val="24"/>
                      <w:szCs w:val="24"/>
                    </w:rPr>
                    <w:t>165,2%</w:t>
                  </w:r>
                </w:p>
              </w:tc>
            </w:tr>
            <w:tr w:rsidR="001861ED" w:rsidRPr="001861ED" w:rsidTr="00A14E2F">
              <w:trPr>
                <w:trHeight w:val="290"/>
              </w:trPr>
              <w:tc>
                <w:tcPr>
                  <w:tcW w:w="4678" w:type="dxa"/>
                  <w:tcBorders>
                    <w:top w:val="nil"/>
                    <w:left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Чистая прибыль, скорр.***</w:t>
                  </w:r>
                </w:p>
              </w:tc>
              <w:tc>
                <w:tcPr>
                  <w:tcW w:w="1418" w:type="dxa"/>
                  <w:tcBorders>
                    <w:top w:val="nil"/>
                    <w:left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108 553</w:t>
                  </w:r>
                </w:p>
              </w:tc>
              <w:tc>
                <w:tcPr>
                  <w:tcW w:w="1275" w:type="dxa"/>
                  <w:tcBorders>
                    <w:top w:val="nil"/>
                    <w:left w:val="nil"/>
                    <w:right w:val="nil"/>
                  </w:tcBorders>
                  <w:shd w:val="clear" w:color="auto" w:fill="auto"/>
                  <w:vAlign w:val="center"/>
                </w:tcPr>
                <w:p w:rsidR="001861ED" w:rsidRPr="001861ED" w:rsidRDefault="001861ED" w:rsidP="001861ED">
                  <w:pPr>
                    <w:jc w:val="center"/>
                    <w:rPr>
                      <w:color w:val="000000"/>
                      <w:sz w:val="24"/>
                      <w:szCs w:val="24"/>
                      <w:lang w:val="en-US"/>
                    </w:rPr>
                  </w:pPr>
                  <w:r w:rsidRPr="001861ED">
                    <w:rPr>
                      <w:color w:val="000000"/>
                      <w:sz w:val="24"/>
                      <w:szCs w:val="24"/>
                    </w:rPr>
                    <w:t>4</w:t>
                  </w:r>
                  <w:r w:rsidRPr="001861ED">
                    <w:rPr>
                      <w:color w:val="000000"/>
                      <w:sz w:val="24"/>
                      <w:szCs w:val="24"/>
                      <w:lang w:val="en-US"/>
                    </w:rPr>
                    <w:t>6</w:t>
                  </w:r>
                  <w:r w:rsidRPr="001861ED">
                    <w:rPr>
                      <w:color w:val="000000"/>
                      <w:sz w:val="24"/>
                      <w:szCs w:val="24"/>
                    </w:rPr>
                    <w:t xml:space="preserve"> </w:t>
                  </w:r>
                  <w:r w:rsidRPr="001861ED">
                    <w:rPr>
                      <w:color w:val="000000"/>
                      <w:sz w:val="24"/>
                      <w:szCs w:val="24"/>
                      <w:lang w:val="en-US"/>
                    </w:rPr>
                    <w:t>094</w:t>
                  </w:r>
                </w:p>
              </w:tc>
              <w:tc>
                <w:tcPr>
                  <w:tcW w:w="1529" w:type="dxa"/>
                  <w:tcBorders>
                    <w:top w:val="nil"/>
                    <w:left w:val="nil"/>
                    <w:right w:val="nil"/>
                  </w:tcBorders>
                  <w:shd w:val="clear" w:color="000000" w:fill="E3F1F7"/>
                  <w:vAlign w:val="center"/>
                </w:tcPr>
                <w:p w:rsidR="001861ED" w:rsidRPr="001861ED" w:rsidRDefault="001861ED" w:rsidP="001861ED">
                  <w:pPr>
                    <w:jc w:val="center"/>
                    <w:rPr>
                      <w:i/>
                      <w:iCs/>
                      <w:color w:val="000000"/>
                      <w:sz w:val="24"/>
                      <w:szCs w:val="24"/>
                    </w:rPr>
                  </w:pPr>
                  <w:r w:rsidRPr="001861ED">
                    <w:rPr>
                      <w:i/>
                      <w:iCs/>
                      <w:color w:val="000000"/>
                      <w:sz w:val="24"/>
                      <w:szCs w:val="24"/>
                    </w:rPr>
                    <w:t>13</w:t>
                  </w:r>
                  <w:r w:rsidRPr="001861ED">
                    <w:rPr>
                      <w:i/>
                      <w:iCs/>
                      <w:color w:val="000000"/>
                      <w:sz w:val="24"/>
                      <w:szCs w:val="24"/>
                      <w:lang w:val="en-US"/>
                    </w:rPr>
                    <w:t>5</w:t>
                  </w:r>
                  <w:r w:rsidRPr="001861ED">
                    <w:rPr>
                      <w:i/>
                      <w:iCs/>
                      <w:color w:val="000000"/>
                      <w:sz w:val="24"/>
                      <w:szCs w:val="24"/>
                    </w:rPr>
                    <w:t>,</w:t>
                  </w:r>
                  <w:r w:rsidRPr="001861ED">
                    <w:rPr>
                      <w:i/>
                      <w:iCs/>
                      <w:color w:val="000000"/>
                      <w:sz w:val="24"/>
                      <w:szCs w:val="24"/>
                      <w:lang w:val="en-US"/>
                    </w:rPr>
                    <w:t>5</w:t>
                  </w:r>
                  <w:r w:rsidRPr="001861ED">
                    <w:rPr>
                      <w:i/>
                      <w:iCs/>
                      <w:color w:val="000000"/>
                      <w:sz w:val="24"/>
                      <w:szCs w:val="24"/>
                    </w:rPr>
                    <w:t>%</w:t>
                  </w:r>
                </w:p>
              </w:tc>
            </w:tr>
            <w:tr w:rsidR="001861ED" w:rsidRPr="001861ED" w:rsidTr="00A14E2F">
              <w:trPr>
                <w:trHeight w:val="290"/>
              </w:trPr>
              <w:tc>
                <w:tcPr>
                  <w:tcW w:w="4678" w:type="dxa"/>
                  <w:tcBorders>
                    <w:top w:val="nil"/>
                    <w:left w:val="nil"/>
                    <w:right w:val="nil"/>
                  </w:tcBorders>
                  <w:shd w:val="clear" w:color="auto" w:fill="auto"/>
                  <w:vAlign w:val="center"/>
                </w:tcPr>
                <w:p w:rsidR="001861ED" w:rsidRPr="001861ED" w:rsidRDefault="001861ED" w:rsidP="001861ED">
                  <w:pPr>
                    <w:rPr>
                      <w:color w:val="000000"/>
                      <w:sz w:val="24"/>
                      <w:szCs w:val="24"/>
                    </w:rPr>
                  </w:pPr>
                  <w:r w:rsidRPr="001861ED">
                    <w:rPr>
                      <w:color w:val="000000"/>
                      <w:sz w:val="24"/>
                      <w:szCs w:val="24"/>
                    </w:rPr>
                    <w:t>Свободный денежный поток</w:t>
                  </w:r>
                </w:p>
              </w:tc>
              <w:tc>
                <w:tcPr>
                  <w:tcW w:w="1418" w:type="dxa"/>
                  <w:tcBorders>
                    <w:top w:val="nil"/>
                    <w:left w:val="nil"/>
                    <w:right w:val="nil"/>
                  </w:tcBorders>
                  <w:shd w:val="clear" w:color="auto" w:fill="auto"/>
                  <w:vAlign w:val="center"/>
                </w:tcPr>
                <w:p w:rsidR="001861ED" w:rsidRPr="001861ED" w:rsidRDefault="001861ED" w:rsidP="001861ED">
                  <w:pPr>
                    <w:jc w:val="center"/>
                    <w:rPr>
                      <w:sz w:val="24"/>
                      <w:szCs w:val="24"/>
                    </w:rPr>
                  </w:pPr>
                  <w:r w:rsidRPr="001861ED">
                    <w:rPr>
                      <w:color w:val="000000"/>
                      <w:sz w:val="24"/>
                      <w:szCs w:val="24"/>
                      <w:lang w:val="en-US"/>
                    </w:rPr>
                    <w:t>40 870</w:t>
                  </w:r>
                </w:p>
              </w:tc>
              <w:tc>
                <w:tcPr>
                  <w:tcW w:w="1275" w:type="dxa"/>
                  <w:tcBorders>
                    <w:top w:val="nil"/>
                    <w:left w:val="nil"/>
                    <w:right w:val="nil"/>
                  </w:tcBorders>
                  <w:shd w:val="clear" w:color="auto" w:fill="auto"/>
                  <w:vAlign w:val="center"/>
                </w:tcPr>
                <w:p w:rsidR="001861ED" w:rsidRPr="001861ED" w:rsidRDefault="001861ED" w:rsidP="001861ED">
                  <w:pPr>
                    <w:jc w:val="center"/>
                    <w:rPr>
                      <w:sz w:val="24"/>
                      <w:szCs w:val="24"/>
                    </w:rPr>
                  </w:pPr>
                  <w:r w:rsidRPr="001861ED">
                    <w:rPr>
                      <w:color w:val="000000"/>
                      <w:sz w:val="24"/>
                      <w:szCs w:val="24"/>
                      <w:lang w:val="en-US"/>
                    </w:rPr>
                    <w:t>34 217</w:t>
                  </w:r>
                </w:p>
              </w:tc>
              <w:tc>
                <w:tcPr>
                  <w:tcW w:w="1529" w:type="dxa"/>
                  <w:tcBorders>
                    <w:top w:val="nil"/>
                    <w:left w:val="nil"/>
                    <w:right w:val="nil"/>
                  </w:tcBorders>
                  <w:shd w:val="clear" w:color="000000" w:fill="E3F1F7"/>
                  <w:vAlign w:val="center"/>
                </w:tcPr>
                <w:p w:rsidR="001861ED" w:rsidRPr="001861ED" w:rsidRDefault="001861ED" w:rsidP="001861ED">
                  <w:pPr>
                    <w:jc w:val="center"/>
                    <w:rPr>
                      <w:i/>
                      <w:iCs/>
                      <w:sz w:val="24"/>
                      <w:szCs w:val="24"/>
                    </w:rPr>
                  </w:pPr>
                  <w:r w:rsidRPr="001861ED">
                    <w:rPr>
                      <w:i/>
                      <w:color w:val="000000"/>
                      <w:sz w:val="24"/>
                      <w:szCs w:val="24"/>
                      <w:lang w:val="en-US"/>
                    </w:rPr>
                    <w:t>19,4%</w:t>
                  </w:r>
                </w:p>
              </w:tc>
            </w:tr>
            <w:tr w:rsidR="001861ED" w:rsidRPr="001861ED" w:rsidTr="00A14E2F">
              <w:trPr>
                <w:trHeight w:val="290"/>
              </w:trPr>
              <w:tc>
                <w:tcPr>
                  <w:tcW w:w="4678" w:type="dxa"/>
                  <w:tcBorders>
                    <w:top w:val="nil"/>
                    <w:left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Свободный денежный поток, скорр.****</w:t>
                  </w:r>
                </w:p>
              </w:tc>
              <w:tc>
                <w:tcPr>
                  <w:tcW w:w="1418" w:type="dxa"/>
                  <w:tcBorders>
                    <w:top w:val="nil"/>
                    <w:left w:val="nil"/>
                    <w:right w:val="nil"/>
                  </w:tcBorders>
                  <w:shd w:val="clear" w:color="auto" w:fill="auto"/>
                  <w:vAlign w:val="center"/>
                </w:tcPr>
                <w:p w:rsidR="001861ED" w:rsidRPr="001861ED" w:rsidRDefault="001861ED" w:rsidP="001861ED">
                  <w:pPr>
                    <w:jc w:val="center"/>
                    <w:rPr>
                      <w:sz w:val="24"/>
                      <w:szCs w:val="24"/>
                      <w:lang w:val="en-US"/>
                    </w:rPr>
                  </w:pPr>
                  <w:r w:rsidRPr="001861ED">
                    <w:rPr>
                      <w:sz w:val="24"/>
                      <w:szCs w:val="24"/>
                    </w:rPr>
                    <w:t>7</w:t>
                  </w:r>
                  <w:r w:rsidRPr="001861ED">
                    <w:rPr>
                      <w:sz w:val="24"/>
                      <w:szCs w:val="24"/>
                      <w:lang w:val="en-US"/>
                    </w:rPr>
                    <w:t>7</w:t>
                  </w:r>
                  <w:r w:rsidRPr="001861ED">
                    <w:rPr>
                      <w:sz w:val="24"/>
                      <w:szCs w:val="24"/>
                    </w:rPr>
                    <w:t xml:space="preserve"> </w:t>
                  </w:r>
                  <w:r w:rsidRPr="001861ED">
                    <w:rPr>
                      <w:sz w:val="24"/>
                      <w:szCs w:val="24"/>
                      <w:lang w:val="en-US"/>
                    </w:rPr>
                    <w:t>599</w:t>
                  </w:r>
                </w:p>
              </w:tc>
              <w:tc>
                <w:tcPr>
                  <w:tcW w:w="1275" w:type="dxa"/>
                  <w:tcBorders>
                    <w:top w:val="nil"/>
                    <w:left w:val="nil"/>
                    <w:right w:val="nil"/>
                  </w:tcBorders>
                  <w:shd w:val="clear" w:color="auto" w:fill="auto"/>
                  <w:vAlign w:val="center"/>
                </w:tcPr>
                <w:p w:rsidR="001861ED" w:rsidRPr="001861ED" w:rsidRDefault="001861ED" w:rsidP="001861ED">
                  <w:pPr>
                    <w:jc w:val="center"/>
                    <w:rPr>
                      <w:sz w:val="24"/>
                      <w:szCs w:val="24"/>
                    </w:rPr>
                  </w:pPr>
                  <w:r w:rsidRPr="001861ED">
                    <w:rPr>
                      <w:sz w:val="24"/>
                      <w:szCs w:val="24"/>
                    </w:rPr>
                    <w:t>34 217</w:t>
                  </w:r>
                </w:p>
              </w:tc>
              <w:tc>
                <w:tcPr>
                  <w:tcW w:w="1529" w:type="dxa"/>
                  <w:tcBorders>
                    <w:top w:val="nil"/>
                    <w:left w:val="nil"/>
                    <w:right w:val="nil"/>
                  </w:tcBorders>
                  <w:shd w:val="clear" w:color="000000" w:fill="E3F1F7"/>
                  <w:vAlign w:val="center"/>
                </w:tcPr>
                <w:p w:rsidR="001861ED" w:rsidRPr="001861ED" w:rsidRDefault="001861ED" w:rsidP="001861ED">
                  <w:pPr>
                    <w:jc w:val="center"/>
                    <w:rPr>
                      <w:i/>
                      <w:iCs/>
                      <w:sz w:val="24"/>
                      <w:szCs w:val="24"/>
                    </w:rPr>
                  </w:pPr>
                  <w:r w:rsidRPr="001861ED">
                    <w:rPr>
                      <w:i/>
                      <w:iCs/>
                      <w:sz w:val="24"/>
                      <w:szCs w:val="24"/>
                    </w:rPr>
                    <w:t>12</w:t>
                  </w:r>
                  <w:r w:rsidRPr="001861ED">
                    <w:rPr>
                      <w:i/>
                      <w:iCs/>
                      <w:sz w:val="24"/>
                      <w:szCs w:val="24"/>
                      <w:lang w:val="en-US"/>
                    </w:rPr>
                    <w:t>6</w:t>
                  </w:r>
                  <w:r w:rsidRPr="001861ED">
                    <w:rPr>
                      <w:i/>
                      <w:iCs/>
                      <w:sz w:val="24"/>
                      <w:szCs w:val="24"/>
                    </w:rPr>
                    <w:t>,</w:t>
                  </w:r>
                  <w:r w:rsidRPr="001861ED">
                    <w:rPr>
                      <w:i/>
                      <w:iCs/>
                      <w:sz w:val="24"/>
                      <w:szCs w:val="24"/>
                      <w:lang w:val="en-US"/>
                    </w:rPr>
                    <w:t>8</w:t>
                  </w:r>
                  <w:r w:rsidRPr="001861ED">
                    <w:rPr>
                      <w:i/>
                      <w:iCs/>
                      <w:sz w:val="24"/>
                      <w:szCs w:val="24"/>
                    </w:rPr>
                    <w:t>%</w:t>
                  </w:r>
                </w:p>
              </w:tc>
            </w:tr>
            <w:tr w:rsidR="001861ED" w:rsidRPr="001861ED" w:rsidTr="00A14E2F">
              <w:trPr>
                <w:trHeight w:val="290"/>
              </w:trPr>
              <w:tc>
                <w:tcPr>
                  <w:tcW w:w="4678" w:type="dxa"/>
                  <w:tcBorders>
                    <w:top w:val="single" w:sz="4" w:space="0" w:color="auto"/>
                    <w:left w:val="nil"/>
                    <w:bottom w:val="single" w:sz="4" w:space="0" w:color="auto"/>
                    <w:right w:val="nil"/>
                  </w:tcBorders>
                  <w:shd w:val="clear" w:color="auto" w:fill="auto"/>
                  <w:vAlign w:val="center"/>
                  <w:hideMark/>
                </w:tcPr>
                <w:p w:rsidR="001861ED" w:rsidRPr="001861ED" w:rsidRDefault="001861ED" w:rsidP="001861ED">
                  <w:pPr>
                    <w:rPr>
                      <w:b/>
                      <w:bCs/>
                      <w:color w:val="000000"/>
                      <w:sz w:val="24"/>
                      <w:szCs w:val="24"/>
                    </w:rPr>
                  </w:pPr>
                  <w:r w:rsidRPr="001861ED">
                    <w:rPr>
                      <w:b/>
                      <w:bCs/>
                      <w:color w:val="000000"/>
                      <w:sz w:val="24"/>
                      <w:szCs w:val="24"/>
                    </w:rPr>
                    <w:t xml:space="preserve"> </w:t>
                  </w:r>
                </w:p>
              </w:tc>
              <w:tc>
                <w:tcPr>
                  <w:tcW w:w="1418" w:type="dxa"/>
                  <w:tcBorders>
                    <w:top w:val="single" w:sz="4" w:space="0" w:color="auto"/>
                    <w:left w:val="nil"/>
                    <w:bottom w:val="single" w:sz="4" w:space="0" w:color="auto"/>
                    <w:right w:val="nil"/>
                  </w:tcBorders>
                  <w:shd w:val="clear" w:color="auto" w:fill="auto"/>
                  <w:vAlign w:val="center"/>
                  <w:hideMark/>
                </w:tcPr>
                <w:p w:rsidR="001861ED" w:rsidRPr="001861ED" w:rsidRDefault="001861ED" w:rsidP="001861ED">
                  <w:pPr>
                    <w:jc w:val="center"/>
                    <w:rPr>
                      <w:b/>
                      <w:bCs/>
                      <w:color w:val="000000"/>
                      <w:sz w:val="24"/>
                      <w:szCs w:val="24"/>
                    </w:rPr>
                  </w:pPr>
                  <w:r w:rsidRPr="001861ED">
                    <w:rPr>
                      <w:b/>
                      <w:bCs/>
                      <w:color w:val="000000"/>
                      <w:sz w:val="24"/>
                      <w:szCs w:val="24"/>
                    </w:rPr>
                    <w:t>30.06.2022</w:t>
                  </w:r>
                </w:p>
              </w:tc>
              <w:tc>
                <w:tcPr>
                  <w:tcW w:w="1275" w:type="dxa"/>
                  <w:tcBorders>
                    <w:top w:val="single" w:sz="4" w:space="0" w:color="auto"/>
                    <w:left w:val="nil"/>
                    <w:bottom w:val="single" w:sz="4" w:space="0" w:color="auto"/>
                    <w:right w:val="nil"/>
                  </w:tcBorders>
                  <w:shd w:val="clear" w:color="auto" w:fill="auto"/>
                  <w:vAlign w:val="center"/>
                  <w:hideMark/>
                </w:tcPr>
                <w:p w:rsidR="001861ED" w:rsidRPr="001861ED" w:rsidRDefault="001861ED" w:rsidP="001861ED">
                  <w:pPr>
                    <w:jc w:val="center"/>
                    <w:rPr>
                      <w:b/>
                      <w:bCs/>
                      <w:color w:val="000000"/>
                      <w:sz w:val="24"/>
                      <w:szCs w:val="24"/>
                    </w:rPr>
                  </w:pPr>
                  <w:r w:rsidRPr="001861ED">
                    <w:rPr>
                      <w:b/>
                      <w:bCs/>
                      <w:color w:val="000000"/>
                      <w:sz w:val="24"/>
                      <w:szCs w:val="24"/>
                    </w:rPr>
                    <w:t>31.12.2021</w:t>
                  </w:r>
                </w:p>
              </w:tc>
              <w:tc>
                <w:tcPr>
                  <w:tcW w:w="1529" w:type="dxa"/>
                  <w:tcBorders>
                    <w:top w:val="single" w:sz="4" w:space="0" w:color="auto"/>
                    <w:left w:val="nil"/>
                    <w:bottom w:val="single" w:sz="4" w:space="0" w:color="auto"/>
                    <w:right w:val="nil"/>
                  </w:tcBorders>
                  <w:shd w:val="clear" w:color="000000" w:fill="E3F1F7"/>
                  <w:vAlign w:val="center"/>
                  <w:hideMark/>
                </w:tcPr>
                <w:p w:rsidR="001861ED" w:rsidRPr="001861ED" w:rsidRDefault="001861ED" w:rsidP="001861ED">
                  <w:pPr>
                    <w:rPr>
                      <w:color w:val="000000"/>
                      <w:sz w:val="24"/>
                      <w:szCs w:val="24"/>
                    </w:rPr>
                  </w:pPr>
                  <w:r w:rsidRPr="001861ED">
                    <w:rPr>
                      <w:color w:val="000000"/>
                      <w:sz w:val="24"/>
                      <w:szCs w:val="24"/>
                    </w:rPr>
                    <w:t> </w:t>
                  </w:r>
                </w:p>
              </w:tc>
            </w:tr>
            <w:tr w:rsidR="001861ED" w:rsidRPr="001861ED" w:rsidTr="00A14E2F">
              <w:trPr>
                <w:trHeight w:val="290"/>
              </w:trPr>
              <w:tc>
                <w:tcPr>
                  <w:tcW w:w="4678" w:type="dxa"/>
                  <w:tcBorders>
                    <w:top w:val="nil"/>
                    <w:left w:val="nil"/>
                    <w:bottom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Чистый долг</w:t>
                  </w:r>
                </w:p>
              </w:tc>
              <w:tc>
                <w:tcPr>
                  <w:tcW w:w="1418" w:type="dxa"/>
                  <w:tcBorders>
                    <w:top w:val="nil"/>
                    <w:left w:val="nil"/>
                    <w:bottom w:val="nil"/>
                    <w:right w:val="nil"/>
                  </w:tcBorders>
                  <w:shd w:val="clear" w:color="auto" w:fill="auto"/>
                  <w:vAlign w:val="center"/>
                  <w:hideMark/>
                </w:tcPr>
                <w:p w:rsidR="001861ED" w:rsidRPr="001861ED" w:rsidRDefault="001861ED" w:rsidP="001861ED">
                  <w:pPr>
                    <w:jc w:val="center"/>
                    <w:rPr>
                      <w:color w:val="000000"/>
                      <w:sz w:val="24"/>
                      <w:szCs w:val="24"/>
                    </w:rPr>
                  </w:pPr>
                  <w:r w:rsidRPr="001861ED">
                    <w:rPr>
                      <w:color w:val="000000"/>
                      <w:sz w:val="24"/>
                      <w:szCs w:val="24"/>
                    </w:rPr>
                    <w:t>62 083</w:t>
                  </w:r>
                </w:p>
              </w:tc>
              <w:tc>
                <w:tcPr>
                  <w:tcW w:w="1275"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153 718</w:t>
                  </w:r>
                </w:p>
              </w:tc>
              <w:tc>
                <w:tcPr>
                  <w:tcW w:w="1529" w:type="dxa"/>
                  <w:tcBorders>
                    <w:top w:val="nil"/>
                    <w:left w:val="nil"/>
                    <w:bottom w:val="nil"/>
                    <w:right w:val="nil"/>
                  </w:tcBorders>
                  <w:shd w:val="clear" w:color="000000" w:fill="E3F1F7"/>
                  <w:vAlign w:val="center"/>
                  <w:hideMark/>
                </w:tcPr>
                <w:p w:rsidR="001861ED" w:rsidRPr="001861ED" w:rsidRDefault="001861ED" w:rsidP="001861ED">
                  <w:pPr>
                    <w:rPr>
                      <w:color w:val="000000"/>
                      <w:sz w:val="24"/>
                      <w:szCs w:val="24"/>
                    </w:rPr>
                  </w:pPr>
                  <w:r w:rsidRPr="001861ED">
                    <w:rPr>
                      <w:color w:val="000000"/>
                      <w:sz w:val="24"/>
                      <w:szCs w:val="24"/>
                    </w:rPr>
                    <w:t> </w:t>
                  </w:r>
                </w:p>
              </w:tc>
            </w:tr>
            <w:tr w:rsidR="001861ED" w:rsidRPr="001861ED" w:rsidTr="00A14E2F">
              <w:trPr>
                <w:trHeight w:val="290"/>
              </w:trPr>
              <w:tc>
                <w:tcPr>
                  <w:tcW w:w="4678" w:type="dxa"/>
                  <w:tcBorders>
                    <w:top w:val="nil"/>
                    <w:left w:val="nil"/>
                    <w:bottom w:val="single" w:sz="4" w:space="0" w:color="auto"/>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Чистый долг/скорр. EBITDA за 12 мес.</w:t>
                  </w:r>
                </w:p>
              </w:tc>
              <w:tc>
                <w:tcPr>
                  <w:tcW w:w="1418" w:type="dxa"/>
                  <w:tcBorders>
                    <w:top w:val="nil"/>
                    <w:left w:val="nil"/>
                    <w:bottom w:val="single" w:sz="4" w:space="0" w:color="auto"/>
                    <w:right w:val="nil"/>
                  </w:tcBorders>
                  <w:shd w:val="clear" w:color="auto" w:fill="auto"/>
                  <w:vAlign w:val="center"/>
                  <w:hideMark/>
                </w:tcPr>
                <w:p w:rsidR="001861ED" w:rsidRPr="001861ED" w:rsidRDefault="001861ED" w:rsidP="001861ED">
                  <w:pPr>
                    <w:jc w:val="center"/>
                    <w:rPr>
                      <w:color w:val="000000"/>
                      <w:sz w:val="24"/>
                      <w:szCs w:val="24"/>
                    </w:rPr>
                  </w:pPr>
                  <w:r w:rsidRPr="001861ED">
                    <w:rPr>
                      <w:color w:val="000000"/>
                      <w:sz w:val="24"/>
                      <w:szCs w:val="24"/>
                    </w:rPr>
                    <w:t>0,22</w:t>
                  </w:r>
                </w:p>
              </w:tc>
              <w:tc>
                <w:tcPr>
                  <w:tcW w:w="1275" w:type="dxa"/>
                  <w:tcBorders>
                    <w:top w:val="nil"/>
                    <w:left w:val="nil"/>
                    <w:bottom w:val="single" w:sz="4" w:space="0" w:color="auto"/>
                    <w:right w:val="nil"/>
                  </w:tcBorders>
                  <w:shd w:val="clear" w:color="auto" w:fill="auto"/>
                  <w:vAlign w:val="center"/>
                  <w:hideMark/>
                </w:tcPr>
                <w:p w:rsidR="001861ED" w:rsidRPr="001861ED" w:rsidRDefault="001861ED" w:rsidP="001861ED">
                  <w:pPr>
                    <w:jc w:val="center"/>
                    <w:rPr>
                      <w:color w:val="000000"/>
                      <w:sz w:val="24"/>
                      <w:szCs w:val="24"/>
                    </w:rPr>
                  </w:pPr>
                  <w:r w:rsidRPr="001861ED">
                    <w:rPr>
                      <w:color w:val="000000"/>
                      <w:sz w:val="24"/>
                      <w:szCs w:val="24"/>
                    </w:rPr>
                    <w:t>0,80</w:t>
                  </w:r>
                </w:p>
              </w:tc>
              <w:tc>
                <w:tcPr>
                  <w:tcW w:w="1529" w:type="dxa"/>
                  <w:tcBorders>
                    <w:top w:val="nil"/>
                    <w:left w:val="nil"/>
                    <w:bottom w:val="single" w:sz="4" w:space="0" w:color="auto"/>
                    <w:right w:val="nil"/>
                  </w:tcBorders>
                  <w:shd w:val="clear" w:color="000000" w:fill="E3F1F7"/>
                  <w:vAlign w:val="center"/>
                  <w:hideMark/>
                </w:tcPr>
                <w:p w:rsidR="001861ED" w:rsidRPr="001861ED" w:rsidRDefault="001861ED" w:rsidP="001861ED">
                  <w:pPr>
                    <w:rPr>
                      <w:color w:val="000000"/>
                      <w:sz w:val="24"/>
                      <w:szCs w:val="24"/>
                    </w:rPr>
                  </w:pPr>
                  <w:r w:rsidRPr="001861ED">
                    <w:rPr>
                      <w:color w:val="000000"/>
                      <w:sz w:val="24"/>
                      <w:szCs w:val="24"/>
                    </w:rPr>
                    <w:t> </w:t>
                  </w:r>
                </w:p>
              </w:tc>
            </w:tr>
          </w:tbl>
          <w:p w:rsidR="001861ED" w:rsidRPr="001861ED" w:rsidRDefault="001861ED" w:rsidP="001861ED">
            <w:pPr>
              <w:pStyle w:val="a5"/>
              <w:rPr>
                <w:i/>
                <w:sz w:val="24"/>
                <w:szCs w:val="24"/>
              </w:rPr>
            </w:pPr>
          </w:p>
          <w:tbl>
            <w:tblPr>
              <w:tblW w:w="8900" w:type="dxa"/>
              <w:tblLayout w:type="fixed"/>
              <w:tblLook w:val="04A0" w:firstRow="1" w:lastRow="0" w:firstColumn="1" w:lastColumn="0" w:noHBand="0" w:noVBand="1"/>
            </w:tblPr>
            <w:tblGrid>
              <w:gridCol w:w="4395"/>
              <w:gridCol w:w="1559"/>
              <w:gridCol w:w="1417"/>
              <w:gridCol w:w="1529"/>
            </w:tblGrid>
            <w:tr w:rsidR="001861ED" w:rsidRPr="001861ED" w:rsidTr="00A14E2F">
              <w:trPr>
                <w:trHeight w:val="315"/>
              </w:trPr>
              <w:tc>
                <w:tcPr>
                  <w:tcW w:w="8900" w:type="dxa"/>
                  <w:gridSpan w:val="4"/>
                  <w:tcBorders>
                    <w:top w:val="nil"/>
                    <w:left w:val="nil"/>
                    <w:bottom w:val="single" w:sz="4" w:space="0" w:color="auto"/>
                    <w:right w:val="nil"/>
                  </w:tcBorders>
                  <w:shd w:val="clear" w:color="000000" w:fill="2B87A2"/>
                  <w:vAlign w:val="center"/>
                  <w:hideMark/>
                </w:tcPr>
                <w:p w:rsidR="001861ED" w:rsidRPr="001861ED" w:rsidRDefault="001861ED" w:rsidP="001861ED">
                  <w:pPr>
                    <w:jc w:val="center"/>
                    <w:rPr>
                      <w:b/>
                      <w:bCs/>
                      <w:color w:val="FFFFFF"/>
                      <w:sz w:val="24"/>
                      <w:szCs w:val="24"/>
                    </w:rPr>
                  </w:pPr>
                  <w:r w:rsidRPr="001861ED">
                    <w:rPr>
                      <w:b/>
                      <w:bCs/>
                      <w:color w:val="FFFFFF"/>
                      <w:sz w:val="24"/>
                      <w:szCs w:val="24"/>
                    </w:rPr>
                    <w:t>ОПЕРАЦИОННЫЕ ПОКАЗАТЕЛИ</w:t>
                  </w:r>
                </w:p>
              </w:tc>
            </w:tr>
            <w:tr w:rsidR="001861ED" w:rsidRPr="001861ED" w:rsidTr="00A14E2F">
              <w:trPr>
                <w:trHeight w:val="315"/>
              </w:trPr>
              <w:tc>
                <w:tcPr>
                  <w:tcW w:w="8900" w:type="dxa"/>
                  <w:gridSpan w:val="4"/>
                  <w:tcBorders>
                    <w:top w:val="nil"/>
                    <w:left w:val="nil"/>
                    <w:bottom w:val="single" w:sz="4" w:space="0" w:color="auto"/>
                    <w:right w:val="nil"/>
                  </w:tcBorders>
                  <w:shd w:val="clear" w:color="000000" w:fill="2B87A2"/>
                  <w:vAlign w:val="center"/>
                </w:tcPr>
                <w:p w:rsidR="001861ED" w:rsidRPr="001861ED" w:rsidRDefault="001861ED" w:rsidP="001861ED">
                  <w:pPr>
                    <w:jc w:val="center"/>
                    <w:rPr>
                      <w:b/>
                      <w:bCs/>
                      <w:color w:val="FFFFFF"/>
                      <w:sz w:val="24"/>
                      <w:szCs w:val="24"/>
                    </w:rPr>
                  </w:pPr>
                  <w:r w:rsidRPr="001861ED">
                    <w:rPr>
                      <w:b/>
                      <w:bCs/>
                      <w:color w:val="FFFFFF"/>
                      <w:sz w:val="24"/>
                      <w:szCs w:val="24"/>
                    </w:rPr>
                    <w:t>Объем производства по категориям</w:t>
                  </w:r>
                </w:p>
              </w:tc>
            </w:tr>
            <w:tr w:rsidR="001861ED" w:rsidRPr="001861ED" w:rsidTr="00A14E2F">
              <w:trPr>
                <w:trHeight w:val="470"/>
              </w:trPr>
              <w:tc>
                <w:tcPr>
                  <w:tcW w:w="4395" w:type="dxa"/>
                  <w:tcBorders>
                    <w:top w:val="nil"/>
                    <w:left w:val="nil"/>
                    <w:bottom w:val="single" w:sz="8" w:space="0" w:color="auto"/>
                    <w:right w:val="nil"/>
                  </w:tcBorders>
                  <w:shd w:val="clear" w:color="auto" w:fill="auto"/>
                  <w:vAlign w:val="center"/>
                  <w:hideMark/>
                </w:tcPr>
                <w:p w:rsidR="001861ED" w:rsidRPr="001861ED" w:rsidRDefault="001861ED" w:rsidP="001861ED">
                  <w:pPr>
                    <w:rPr>
                      <w:b/>
                      <w:bCs/>
                      <w:color w:val="000000"/>
                      <w:sz w:val="24"/>
                      <w:szCs w:val="24"/>
                    </w:rPr>
                  </w:pPr>
                  <w:r w:rsidRPr="001861ED">
                    <w:rPr>
                      <w:b/>
                      <w:bCs/>
                      <w:color w:val="000000"/>
                      <w:sz w:val="24"/>
                      <w:szCs w:val="24"/>
                    </w:rPr>
                    <w:t>тыс. тонн</w:t>
                  </w:r>
                </w:p>
              </w:tc>
              <w:tc>
                <w:tcPr>
                  <w:tcW w:w="1559" w:type="dxa"/>
                  <w:tcBorders>
                    <w:top w:val="nil"/>
                    <w:left w:val="nil"/>
                    <w:bottom w:val="single" w:sz="8" w:space="0" w:color="auto"/>
                    <w:right w:val="nil"/>
                  </w:tcBorders>
                  <w:shd w:val="clear" w:color="auto" w:fill="auto"/>
                  <w:vAlign w:val="center"/>
                </w:tcPr>
                <w:p w:rsidR="001861ED" w:rsidRPr="001861ED" w:rsidRDefault="001861ED" w:rsidP="001861ED">
                  <w:pPr>
                    <w:jc w:val="center"/>
                    <w:rPr>
                      <w:b/>
                      <w:bCs/>
                      <w:color w:val="000000"/>
                      <w:sz w:val="24"/>
                      <w:szCs w:val="24"/>
                    </w:rPr>
                  </w:pPr>
                  <w:r w:rsidRPr="001861ED">
                    <w:rPr>
                      <w:b/>
                      <w:bCs/>
                      <w:color w:val="000000"/>
                      <w:sz w:val="24"/>
                      <w:szCs w:val="24"/>
                    </w:rPr>
                    <w:t>6 мес.</w:t>
                  </w:r>
                  <w:r w:rsidRPr="001861ED">
                    <w:rPr>
                      <w:b/>
                      <w:bCs/>
                      <w:color w:val="000000"/>
                      <w:sz w:val="24"/>
                      <w:szCs w:val="24"/>
                    </w:rPr>
                    <w:br/>
                    <w:t>2022</w:t>
                  </w:r>
                </w:p>
              </w:tc>
              <w:tc>
                <w:tcPr>
                  <w:tcW w:w="1417" w:type="dxa"/>
                  <w:tcBorders>
                    <w:top w:val="nil"/>
                    <w:left w:val="nil"/>
                    <w:bottom w:val="single" w:sz="8" w:space="0" w:color="auto"/>
                    <w:right w:val="nil"/>
                  </w:tcBorders>
                  <w:shd w:val="clear" w:color="auto" w:fill="auto"/>
                  <w:vAlign w:val="center"/>
                </w:tcPr>
                <w:p w:rsidR="001861ED" w:rsidRPr="001861ED" w:rsidRDefault="001861ED" w:rsidP="001861ED">
                  <w:pPr>
                    <w:jc w:val="center"/>
                    <w:rPr>
                      <w:b/>
                      <w:bCs/>
                      <w:color w:val="000000"/>
                      <w:sz w:val="24"/>
                      <w:szCs w:val="24"/>
                    </w:rPr>
                  </w:pPr>
                  <w:r w:rsidRPr="001861ED">
                    <w:rPr>
                      <w:b/>
                      <w:bCs/>
                      <w:color w:val="000000"/>
                      <w:sz w:val="24"/>
                      <w:szCs w:val="24"/>
                    </w:rPr>
                    <w:t>6 мес.</w:t>
                  </w:r>
                  <w:r w:rsidRPr="001861ED">
                    <w:rPr>
                      <w:b/>
                      <w:bCs/>
                      <w:color w:val="000000"/>
                      <w:sz w:val="24"/>
                      <w:szCs w:val="24"/>
                    </w:rPr>
                    <w:br/>
                    <w:t>2021</w:t>
                  </w:r>
                </w:p>
              </w:tc>
              <w:tc>
                <w:tcPr>
                  <w:tcW w:w="1529" w:type="dxa"/>
                  <w:tcBorders>
                    <w:top w:val="nil"/>
                    <w:left w:val="nil"/>
                    <w:bottom w:val="single" w:sz="8" w:space="0" w:color="auto"/>
                    <w:right w:val="nil"/>
                  </w:tcBorders>
                  <w:shd w:val="clear" w:color="000000" w:fill="E3F1F7"/>
                  <w:vAlign w:val="center"/>
                </w:tcPr>
                <w:p w:rsidR="001861ED" w:rsidRPr="001861ED" w:rsidRDefault="001861ED" w:rsidP="001861ED">
                  <w:pPr>
                    <w:jc w:val="center"/>
                    <w:rPr>
                      <w:b/>
                      <w:bCs/>
                      <w:color w:val="000000"/>
                      <w:sz w:val="24"/>
                      <w:szCs w:val="24"/>
                    </w:rPr>
                  </w:pPr>
                  <w:r w:rsidRPr="001861ED">
                    <w:rPr>
                      <w:b/>
                      <w:bCs/>
                      <w:color w:val="000000"/>
                      <w:sz w:val="24"/>
                      <w:szCs w:val="24"/>
                    </w:rPr>
                    <w:t>Изм.</w:t>
                  </w:r>
                  <w:r w:rsidRPr="001861ED">
                    <w:rPr>
                      <w:b/>
                      <w:bCs/>
                      <w:color w:val="000000"/>
                      <w:sz w:val="24"/>
                      <w:szCs w:val="24"/>
                    </w:rPr>
                    <w:br/>
                    <w:t xml:space="preserve"> %</w:t>
                  </w:r>
                </w:p>
              </w:tc>
            </w:tr>
            <w:tr w:rsidR="001861ED" w:rsidRPr="001861ED" w:rsidTr="00A14E2F">
              <w:trPr>
                <w:trHeight w:val="290"/>
              </w:trPr>
              <w:tc>
                <w:tcPr>
                  <w:tcW w:w="4395" w:type="dxa"/>
                  <w:tcBorders>
                    <w:top w:val="nil"/>
                    <w:left w:val="nil"/>
                    <w:bottom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Фосфорсодержащие удобрения и кормовые фосфаты</w:t>
                  </w:r>
                </w:p>
              </w:tc>
              <w:tc>
                <w:tcPr>
                  <w:tcW w:w="1559"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4 054,0</w:t>
                  </w:r>
                </w:p>
              </w:tc>
              <w:tc>
                <w:tcPr>
                  <w:tcW w:w="1417"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3 825,5</w:t>
                  </w:r>
                </w:p>
              </w:tc>
              <w:tc>
                <w:tcPr>
                  <w:tcW w:w="1529" w:type="dxa"/>
                  <w:tcBorders>
                    <w:top w:val="nil"/>
                    <w:left w:val="nil"/>
                    <w:bottom w:val="nil"/>
                    <w:right w:val="nil"/>
                  </w:tcBorders>
                  <w:shd w:val="clear" w:color="000000" w:fill="E3F1F7"/>
                  <w:vAlign w:val="center"/>
                </w:tcPr>
                <w:p w:rsidR="001861ED" w:rsidRPr="001861ED" w:rsidRDefault="001861ED" w:rsidP="001861ED">
                  <w:pPr>
                    <w:jc w:val="center"/>
                    <w:rPr>
                      <w:i/>
                      <w:iCs/>
                      <w:color w:val="000000"/>
                      <w:sz w:val="24"/>
                      <w:szCs w:val="24"/>
                    </w:rPr>
                  </w:pPr>
                  <w:r w:rsidRPr="001861ED">
                    <w:rPr>
                      <w:color w:val="000000"/>
                      <w:sz w:val="24"/>
                      <w:szCs w:val="24"/>
                    </w:rPr>
                    <w:t>6,0%</w:t>
                  </w:r>
                </w:p>
              </w:tc>
            </w:tr>
            <w:tr w:rsidR="001861ED" w:rsidRPr="001861ED" w:rsidTr="00A14E2F">
              <w:trPr>
                <w:trHeight w:val="290"/>
              </w:trPr>
              <w:tc>
                <w:tcPr>
                  <w:tcW w:w="4395" w:type="dxa"/>
                  <w:tcBorders>
                    <w:top w:val="nil"/>
                    <w:left w:val="nil"/>
                    <w:bottom w:val="single" w:sz="4" w:space="0" w:color="auto"/>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Азотные удобрения</w:t>
                  </w:r>
                </w:p>
              </w:tc>
              <w:tc>
                <w:tcPr>
                  <w:tcW w:w="1559" w:type="dxa"/>
                  <w:tcBorders>
                    <w:top w:val="nil"/>
                    <w:left w:val="nil"/>
                    <w:bottom w:val="single" w:sz="4" w:space="0" w:color="auto"/>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1 265,6</w:t>
                  </w:r>
                </w:p>
              </w:tc>
              <w:tc>
                <w:tcPr>
                  <w:tcW w:w="1417" w:type="dxa"/>
                  <w:tcBorders>
                    <w:top w:val="nil"/>
                    <w:left w:val="nil"/>
                    <w:bottom w:val="single" w:sz="4" w:space="0" w:color="auto"/>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1 231,6</w:t>
                  </w:r>
                </w:p>
              </w:tc>
              <w:tc>
                <w:tcPr>
                  <w:tcW w:w="1529" w:type="dxa"/>
                  <w:tcBorders>
                    <w:top w:val="nil"/>
                    <w:left w:val="nil"/>
                    <w:bottom w:val="single" w:sz="4" w:space="0" w:color="auto"/>
                    <w:right w:val="nil"/>
                  </w:tcBorders>
                  <w:shd w:val="clear" w:color="000000" w:fill="E3F1F7"/>
                  <w:vAlign w:val="center"/>
                </w:tcPr>
                <w:p w:rsidR="001861ED" w:rsidRPr="001861ED" w:rsidRDefault="001861ED" w:rsidP="001861ED">
                  <w:pPr>
                    <w:jc w:val="center"/>
                    <w:rPr>
                      <w:i/>
                      <w:iCs/>
                      <w:color w:val="000000"/>
                      <w:sz w:val="24"/>
                      <w:szCs w:val="24"/>
                    </w:rPr>
                  </w:pPr>
                  <w:r w:rsidRPr="001861ED">
                    <w:rPr>
                      <w:color w:val="000000"/>
                      <w:sz w:val="24"/>
                      <w:szCs w:val="24"/>
                    </w:rPr>
                    <w:t>2,8%</w:t>
                  </w:r>
                </w:p>
              </w:tc>
            </w:tr>
            <w:tr w:rsidR="001861ED" w:rsidRPr="001861ED" w:rsidTr="00A14E2F">
              <w:trPr>
                <w:trHeight w:val="290"/>
              </w:trPr>
              <w:tc>
                <w:tcPr>
                  <w:tcW w:w="4395" w:type="dxa"/>
                  <w:tcBorders>
                    <w:top w:val="single" w:sz="4" w:space="0" w:color="auto"/>
                    <w:left w:val="nil"/>
                    <w:bottom w:val="single" w:sz="4" w:space="0" w:color="auto"/>
                    <w:right w:val="nil"/>
                  </w:tcBorders>
                  <w:shd w:val="clear" w:color="auto" w:fill="auto"/>
                  <w:vAlign w:val="center"/>
                  <w:hideMark/>
                </w:tcPr>
                <w:p w:rsidR="001861ED" w:rsidRPr="001861ED" w:rsidRDefault="001861ED" w:rsidP="001861ED">
                  <w:pPr>
                    <w:rPr>
                      <w:color w:val="000000"/>
                      <w:sz w:val="24"/>
                      <w:szCs w:val="24"/>
                    </w:rPr>
                  </w:pPr>
                  <w:r w:rsidRPr="001861ED">
                    <w:rPr>
                      <w:b/>
                      <w:bCs/>
                      <w:color w:val="000000"/>
                      <w:sz w:val="24"/>
                      <w:szCs w:val="24"/>
                    </w:rPr>
                    <w:t>ИТОГО удобрений</w:t>
                  </w:r>
                </w:p>
              </w:tc>
              <w:tc>
                <w:tcPr>
                  <w:tcW w:w="1559" w:type="dxa"/>
                  <w:tcBorders>
                    <w:top w:val="single" w:sz="4" w:space="0" w:color="auto"/>
                    <w:left w:val="nil"/>
                    <w:bottom w:val="single" w:sz="4" w:space="0" w:color="auto"/>
                    <w:right w:val="nil"/>
                  </w:tcBorders>
                  <w:shd w:val="clear" w:color="auto" w:fill="auto"/>
                  <w:vAlign w:val="center"/>
                </w:tcPr>
                <w:p w:rsidR="001861ED" w:rsidRPr="001861ED" w:rsidRDefault="001861ED" w:rsidP="001861ED">
                  <w:pPr>
                    <w:jc w:val="center"/>
                    <w:rPr>
                      <w:color w:val="000000"/>
                      <w:sz w:val="24"/>
                      <w:szCs w:val="24"/>
                    </w:rPr>
                  </w:pPr>
                  <w:r w:rsidRPr="001861ED">
                    <w:rPr>
                      <w:b/>
                      <w:bCs/>
                      <w:color w:val="000000"/>
                      <w:sz w:val="24"/>
                      <w:szCs w:val="24"/>
                    </w:rPr>
                    <w:t>5 319,6</w:t>
                  </w:r>
                </w:p>
              </w:tc>
              <w:tc>
                <w:tcPr>
                  <w:tcW w:w="1417" w:type="dxa"/>
                  <w:tcBorders>
                    <w:top w:val="single" w:sz="4" w:space="0" w:color="auto"/>
                    <w:left w:val="nil"/>
                    <w:bottom w:val="single" w:sz="4" w:space="0" w:color="auto"/>
                    <w:right w:val="nil"/>
                  </w:tcBorders>
                  <w:shd w:val="clear" w:color="auto" w:fill="auto"/>
                  <w:vAlign w:val="center"/>
                </w:tcPr>
                <w:p w:rsidR="001861ED" w:rsidRPr="001861ED" w:rsidRDefault="001861ED" w:rsidP="001861ED">
                  <w:pPr>
                    <w:jc w:val="center"/>
                    <w:rPr>
                      <w:color w:val="000000"/>
                      <w:sz w:val="24"/>
                      <w:szCs w:val="24"/>
                    </w:rPr>
                  </w:pPr>
                  <w:r w:rsidRPr="001861ED">
                    <w:rPr>
                      <w:b/>
                      <w:bCs/>
                      <w:color w:val="000000"/>
                      <w:sz w:val="24"/>
                      <w:szCs w:val="24"/>
                    </w:rPr>
                    <w:t>5 057,1</w:t>
                  </w:r>
                </w:p>
              </w:tc>
              <w:tc>
                <w:tcPr>
                  <w:tcW w:w="1529" w:type="dxa"/>
                  <w:tcBorders>
                    <w:top w:val="single" w:sz="4" w:space="0" w:color="auto"/>
                    <w:left w:val="nil"/>
                    <w:bottom w:val="single" w:sz="4" w:space="0" w:color="auto"/>
                    <w:right w:val="nil"/>
                  </w:tcBorders>
                  <w:shd w:val="clear" w:color="000000" w:fill="E3F1F7"/>
                  <w:vAlign w:val="center"/>
                </w:tcPr>
                <w:p w:rsidR="001861ED" w:rsidRPr="001861ED" w:rsidRDefault="001861ED" w:rsidP="001861ED">
                  <w:pPr>
                    <w:jc w:val="center"/>
                    <w:rPr>
                      <w:i/>
                      <w:iCs/>
                      <w:color w:val="000000"/>
                      <w:sz w:val="24"/>
                      <w:szCs w:val="24"/>
                    </w:rPr>
                  </w:pPr>
                  <w:r w:rsidRPr="001861ED">
                    <w:rPr>
                      <w:b/>
                      <w:bCs/>
                      <w:color w:val="000000"/>
                      <w:sz w:val="24"/>
                      <w:szCs w:val="24"/>
                    </w:rPr>
                    <w:t>5,2%</w:t>
                  </w:r>
                </w:p>
              </w:tc>
            </w:tr>
            <w:tr w:rsidR="001861ED" w:rsidRPr="001861ED" w:rsidTr="00A14E2F">
              <w:trPr>
                <w:trHeight w:val="315"/>
              </w:trPr>
              <w:tc>
                <w:tcPr>
                  <w:tcW w:w="8900" w:type="dxa"/>
                  <w:gridSpan w:val="4"/>
                  <w:tcBorders>
                    <w:top w:val="nil"/>
                    <w:left w:val="nil"/>
                    <w:bottom w:val="single" w:sz="4" w:space="0" w:color="auto"/>
                    <w:right w:val="nil"/>
                  </w:tcBorders>
                  <w:shd w:val="clear" w:color="000000" w:fill="2B87A2"/>
                  <w:vAlign w:val="center"/>
                </w:tcPr>
                <w:p w:rsidR="001861ED" w:rsidRPr="001861ED" w:rsidRDefault="001861ED" w:rsidP="001861ED">
                  <w:pPr>
                    <w:jc w:val="center"/>
                    <w:rPr>
                      <w:b/>
                      <w:bCs/>
                      <w:color w:val="FFFFFF"/>
                      <w:sz w:val="24"/>
                      <w:szCs w:val="24"/>
                    </w:rPr>
                  </w:pPr>
                  <w:r w:rsidRPr="001861ED">
                    <w:rPr>
                      <w:b/>
                      <w:bCs/>
                      <w:color w:val="FFFFFF"/>
                      <w:sz w:val="24"/>
                      <w:szCs w:val="24"/>
                    </w:rPr>
                    <w:t>Объем реализации по категориям</w:t>
                  </w:r>
                </w:p>
              </w:tc>
            </w:tr>
            <w:tr w:rsidR="001861ED" w:rsidRPr="001861ED" w:rsidTr="00A14E2F">
              <w:trPr>
                <w:trHeight w:val="470"/>
              </w:trPr>
              <w:tc>
                <w:tcPr>
                  <w:tcW w:w="4395" w:type="dxa"/>
                  <w:tcBorders>
                    <w:top w:val="nil"/>
                    <w:left w:val="nil"/>
                    <w:bottom w:val="single" w:sz="8" w:space="0" w:color="auto"/>
                    <w:right w:val="nil"/>
                  </w:tcBorders>
                  <w:shd w:val="clear" w:color="auto" w:fill="auto"/>
                  <w:vAlign w:val="center"/>
                  <w:hideMark/>
                </w:tcPr>
                <w:p w:rsidR="001861ED" w:rsidRPr="001861ED" w:rsidRDefault="001861ED" w:rsidP="001861ED">
                  <w:pPr>
                    <w:rPr>
                      <w:b/>
                      <w:bCs/>
                      <w:color w:val="000000"/>
                      <w:sz w:val="24"/>
                      <w:szCs w:val="24"/>
                    </w:rPr>
                  </w:pPr>
                  <w:r w:rsidRPr="001861ED">
                    <w:rPr>
                      <w:b/>
                      <w:bCs/>
                      <w:color w:val="000000"/>
                      <w:sz w:val="24"/>
                      <w:szCs w:val="24"/>
                    </w:rPr>
                    <w:t>тыс. тонн</w:t>
                  </w:r>
                </w:p>
              </w:tc>
              <w:tc>
                <w:tcPr>
                  <w:tcW w:w="1559" w:type="dxa"/>
                  <w:tcBorders>
                    <w:top w:val="nil"/>
                    <w:left w:val="nil"/>
                    <w:bottom w:val="single" w:sz="8" w:space="0" w:color="auto"/>
                    <w:right w:val="nil"/>
                  </w:tcBorders>
                  <w:shd w:val="clear" w:color="auto" w:fill="auto"/>
                  <w:vAlign w:val="center"/>
                </w:tcPr>
                <w:p w:rsidR="001861ED" w:rsidRPr="001861ED" w:rsidRDefault="001861ED" w:rsidP="001861ED">
                  <w:pPr>
                    <w:jc w:val="center"/>
                    <w:rPr>
                      <w:b/>
                      <w:bCs/>
                      <w:color w:val="000000"/>
                      <w:sz w:val="24"/>
                      <w:szCs w:val="24"/>
                    </w:rPr>
                  </w:pPr>
                  <w:r w:rsidRPr="001861ED">
                    <w:rPr>
                      <w:b/>
                      <w:bCs/>
                      <w:color w:val="000000"/>
                      <w:sz w:val="24"/>
                      <w:szCs w:val="24"/>
                    </w:rPr>
                    <w:t>6 мес.</w:t>
                  </w:r>
                  <w:r w:rsidRPr="001861ED">
                    <w:rPr>
                      <w:b/>
                      <w:bCs/>
                      <w:color w:val="000000"/>
                      <w:sz w:val="24"/>
                      <w:szCs w:val="24"/>
                    </w:rPr>
                    <w:br/>
                    <w:t>2022</w:t>
                  </w:r>
                </w:p>
              </w:tc>
              <w:tc>
                <w:tcPr>
                  <w:tcW w:w="1417" w:type="dxa"/>
                  <w:tcBorders>
                    <w:top w:val="nil"/>
                    <w:left w:val="nil"/>
                    <w:bottom w:val="single" w:sz="8" w:space="0" w:color="auto"/>
                    <w:right w:val="nil"/>
                  </w:tcBorders>
                  <w:shd w:val="clear" w:color="auto" w:fill="auto"/>
                  <w:vAlign w:val="center"/>
                </w:tcPr>
                <w:p w:rsidR="001861ED" w:rsidRPr="001861ED" w:rsidRDefault="001861ED" w:rsidP="001861ED">
                  <w:pPr>
                    <w:jc w:val="center"/>
                    <w:rPr>
                      <w:b/>
                      <w:bCs/>
                      <w:color w:val="000000"/>
                      <w:sz w:val="24"/>
                      <w:szCs w:val="24"/>
                    </w:rPr>
                  </w:pPr>
                  <w:r w:rsidRPr="001861ED">
                    <w:rPr>
                      <w:b/>
                      <w:bCs/>
                      <w:color w:val="000000"/>
                      <w:sz w:val="24"/>
                      <w:szCs w:val="24"/>
                    </w:rPr>
                    <w:t>6 мес.</w:t>
                  </w:r>
                  <w:r w:rsidRPr="001861ED">
                    <w:rPr>
                      <w:b/>
                      <w:bCs/>
                      <w:color w:val="000000"/>
                      <w:sz w:val="24"/>
                      <w:szCs w:val="24"/>
                    </w:rPr>
                    <w:br/>
                    <w:t>2021</w:t>
                  </w:r>
                </w:p>
              </w:tc>
              <w:tc>
                <w:tcPr>
                  <w:tcW w:w="1529" w:type="dxa"/>
                  <w:tcBorders>
                    <w:top w:val="nil"/>
                    <w:left w:val="nil"/>
                    <w:bottom w:val="single" w:sz="8" w:space="0" w:color="auto"/>
                    <w:right w:val="nil"/>
                  </w:tcBorders>
                  <w:shd w:val="clear" w:color="000000" w:fill="E3F1F7"/>
                  <w:vAlign w:val="center"/>
                </w:tcPr>
                <w:p w:rsidR="001861ED" w:rsidRPr="001861ED" w:rsidRDefault="001861ED" w:rsidP="001861ED">
                  <w:pPr>
                    <w:jc w:val="center"/>
                    <w:rPr>
                      <w:b/>
                      <w:bCs/>
                      <w:color w:val="000000"/>
                      <w:sz w:val="24"/>
                      <w:szCs w:val="24"/>
                    </w:rPr>
                  </w:pPr>
                  <w:r w:rsidRPr="001861ED">
                    <w:rPr>
                      <w:b/>
                      <w:bCs/>
                      <w:color w:val="000000"/>
                      <w:sz w:val="24"/>
                      <w:szCs w:val="24"/>
                    </w:rPr>
                    <w:t>Изм.</w:t>
                  </w:r>
                  <w:r w:rsidRPr="001861ED">
                    <w:rPr>
                      <w:b/>
                      <w:bCs/>
                      <w:color w:val="000000"/>
                      <w:sz w:val="24"/>
                      <w:szCs w:val="24"/>
                    </w:rPr>
                    <w:br/>
                    <w:t xml:space="preserve"> %</w:t>
                  </w:r>
                </w:p>
              </w:tc>
            </w:tr>
            <w:tr w:rsidR="001861ED" w:rsidRPr="001861ED" w:rsidTr="00A14E2F">
              <w:trPr>
                <w:trHeight w:val="290"/>
              </w:trPr>
              <w:tc>
                <w:tcPr>
                  <w:tcW w:w="4395" w:type="dxa"/>
                  <w:tcBorders>
                    <w:top w:val="nil"/>
                    <w:left w:val="nil"/>
                    <w:bottom w:val="nil"/>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Фосфорсодержащие удобрения и кормовые фосфаты</w:t>
                  </w:r>
                </w:p>
              </w:tc>
              <w:tc>
                <w:tcPr>
                  <w:tcW w:w="1559"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4 335,3</w:t>
                  </w:r>
                </w:p>
              </w:tc>
              <w:tc>
                <w:tcPr>
                  <w:tcW w:w="1417" w:type="dxa"/>
                  <w:tcBorders>
                    <w:top w:val="nil"/>
                    <w:left w:val="nil"/>
                    <w:bottom w:val="nil"/>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3 743,6</w:t>
                  </w:r>
                </w:p>
              </w:tc>
              <w:tc>
                <w:tcPr>
                  <w:tcW w:w="1529" w:type="dxa"/>
                  <w:tcBorders>
                    <w:top w:val="nil"/>
                    <w:left w:val="nil"/>
                    <w:bottom w:val="nil"/>
                    <w:right w:val="nil"/>
                  </w:tcBorders>
                  <w:shd w:val="clear" w:color="000000" w:fill="E3F1F7"/>
                  <w:vAlign w:val="center"/>
                </w:tcPr>
                <w:p w:rsidR="001861ED" w:rsidRPr="001861ED" w:rsidRDefault="001861ED" w:rsidP="001861ED">
                  <w:pPr>
                    <w:jc w:val="center"/>
                    <w:rPr>
                      <w:i/>
                      <w:iCs/>
                      <w:color w:val="000000"/>
                      <w:sz w:val="24"/>
                      <w:szCs w:val="24"/>
                    </w:rPr>
                  </w:pPr>
                  <w:r w:rsidRPr="001861ED">
                    <w:rPr>
                      <w:color w:val="000000"/>
                      <w:sz w:val="24"/>
                      <w:szCs w:val="24"/>
                    </w:rPr>
                    <w:t>15,8%</w:t>
                  </w:r>
                </w:p>
              </w:tc>
            </w:tr>
            <w:tr w:rsidR="001861ED" w:rsidRPr="001861ED" w:rsidTr="00A14E2F">
              <w:trPr>
                <w:trHeight w:val="290"/>
              </w:trPr>
              <w:tc>
                <w:tcPr>
                  <w:tcW w:w="4395" w:type="dxa"/>
                  <w:tcBorders>
                    <w:top w:val="nil"/>
                    <w:left w:val="nil"/>
                    <w:bottom w:val="single" w:sz="4" w:space="0" w:color="auto"/>
                    <w:right w:val="nil"/>
                  </w:tcBorders>
                  <w:shd w:val="clear" w:color="auto" w:fill="auto"/>
                  <w:vAlign w:val="center"/>
                  <w:hideMark/>
                </w:tcPr>
                <w:p w:rsidR="001861ED" w:rsidRPr="001861ED" w:rsidRDefault="001861ED" w:rsidP="001861ED">
                  <w:pPr>
                    <w:rPr>
                      <w:color w:val="000000"/>
                      <w:sz w:val="24"/>
                      <w:szCs w:val="24"/>
                    </w:rPr>
                  </w:pPr>
                  <w:r w:rsidRPr="001861ED">
                    <w:rPr>
                      <w:color w:val="000000"/>
                      <w:sz w:val="24"/>
                      <w:szCs w:val="24"/>
                    </w:rPr>
                    <w:t>Азотные удобрения</w:t>
                  </w:r>
                </w:p>
              </w:tc>
              <w:tc>
                <w:tcPr>
                  <w:tcW w:w="1559" w:type="dxa"/>
                  <w:tcBorders>
                    <w:top w:val="nil"/>
                    <w:left w:val="nil"/>
                    <w:bottom w:val="single" w:sz="4" w:space="0" w:color="auto"/>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1 346,4</w:t>
                  </w:r>
                </w:p>
              </w:tc>
              <w:tc>
                <w:tcPr>
                  <w:tcW w:w="1417" w:type="dxa"/>
                  <w:tcBorders>
                    <w:top w:val="nil"/>
                    <w:left w:val="nil"/>
                    <w:bottom w:val="single" w:sz="4" w:space="0" w:color="auto"/>
                    <w:right w:val="nil"/>
                  </w:tcBorders>
                  <w:shd w:val="clear" w:color="auto" w:fill="auto"/>
                  <w:vAlign w:val="center"/>
                </w:tcPr>
                <w:p w:rsidR="001861ED" w:rsidRPr="001861ED" w:rsidRDefault="001861ED" w:rsidP="001861ED">
                  <w:pPr>
                    <w:jc w:val="center"/>
                    <w:rPr>
                      <w:color w:val="000000"/>
                      <w:sz w:val="24"/>
                      <w:szCs w:val="24"/>
                    </w:rPr>
                  </w:pPr>
                  <w:r w:rsidRPr="001861ED">
                    <w:rPr>
                      <w:color w:val="000000"/>
                      <w:sz w:val="24"/>
                      <w:szCs w:val="24"/>
                    </w:rPr>
                    <w:t>1 412,4</w:t>
                  </w:r>
                </w:p>
              </w:tc>
              <w:tc>
                <w:tcPr>
                  <w:tcW w:w="1529" w:type="dxa"/>
                  <w:tcBorders>
                    <w:top w:val="nil"/>
                    <w:left w:val="nil"/>
                    <w:bottom w:val="single" w:sz="4" w:space="0" w:color="auto"/>
                    <w:right w:val="nil"/>
                  </w:tcBorders>
                  <w:shd w:val="clear" w:color="000000" w:fill="E3F1F7"/>
                  <w:vAlign w:val="center"/>
                </w:tcPr>
                <w:p w:rsidR="001861ED" w:rsidRPr="001861ED" w:rsidRDefault="001861ED" w:rsidP="001861ED">
                  <w:pPr>
                    <w:jc w:val="center"/>
                    <w:rPr>
                      <w:i/>
                      <w:iCs/>
                      <w:color w:val="000000"/>
                      <w:sz w:val="24"/>
                      <w:szCs w:val="24"/>
                    </w:rPr>
                  </w:pPr>
                  <w:r w:rsidRPr="001861ED">
                    <w:rPr>
                      <w:color w:val="000000"/>
                      <w:sz w:val="24"/>
                      <w:szCs w:val="24"/>
                    </w:rPr>
                    <w:t>-4,7%</w:t>
                  </w:r>
                </w:p>
              </w:tc>
            </w:tr>
            <w:tr w:rsidR="001861ED" w:rsidRPr="001861ED" w:rsidTr="00A14E2F">
              <w:trPr>
                <w:trHeight w:val="290"/>
              </w:trPr>
              <w:tc>
                <w:tcPr>
                  <w:tcW w:w="4395" w:type="dxa"/>
                  <w:tcBorders>
                    <w:top w:val="single" w:sz="4" w:space="0" w:color="auto"/>
                    <w:left w:val="nil"/>
                    <w:bottom w:val="single" w:sz="4" w:space="0" w:color="auto"/>
                    <w:right w:val="nil"/>
                  </w:tcBorders>
                  <w:shd w:val="clear" w:color="auto" w:fill="auto"/>
                  <w:vAlign w:val="center"/>
                  <w:hideMark/>
                </w:tcPr>
                <w:p w:rsidR="001861ED" w:rsidRPr="001861ED" w:rsidRDefault="001861ED" w:rsidP="001861ED">
                  <w:pPr>
                    <w:rPr>
                      <w:color w:val="000000"/>
                      <w:sz w:val="24"/>
                      <w:szCs w:val="24"/>
                    </w:rPr>
                  </w:pPr>
                  <w:r w:rsidRPr="001861ED">
                    <w:rPr>
                      <w:b/>
                      <w:bCs/>
                      <w:color w:val="000000"/>
                      <w:sz w:val="24"/>
                      <w:szCs w:val="24"/>
                    </w:rPr>
                    <w:t>ИТОГО удобрений</w:t>
                  </w:r>
                </w:p>
              </w:tc>
              <w:tc>
                <w:tcPr>
                  <w:tcW w:w="1559" w:type="dxa"/>
                  <w:tcBorders>
                    <w:top w:val="single" w:sz="4" w:space="0" w:color="auto"/>
                    <w:left w:val="nil"/>
                    <w:bottom w:val="single" w:sz="4" w:space="0" w:color="auto"/>
                    <w:right w:val="nil"/>
                  </w:tcBorders>
                  <w:shd w:val="clear" w:color="auto" w:fill="auto"/>
                  <w:vAlign w:val="center"/>
                </w:tcPr>
                <w:p w:rsidR="001861ED" w:rsidRPr="001861ED" w:rsidRDefault="001861ED" w:rsidP="001861ED">
                  <w:pPr>
                    <w:jc w:val="center"/>
                    <w:rPr>
                      <w:color w:val="000000"/>
                      <w:sz w:val="24"/>
                      <w:szCs w:val="24"/>
                    </w:rPr>
                  </w:pPr>
                  <w:r w:rsidRPr="001861ED">
                    <w:rPr>
                      <w:b/>
                      <w:bCs/>
                      <w:color w:val="000000"/>
                      <w:sz w:val="24"/>
                      <w:szCs w:val="24"/>
                    </w:rPr>
                    <w:t>5 681,7</w:t>
                  </w:r>
                </w:p>
              </w:tc>
              <w:tc>
                <w:tcPr>
                  <w:tcW w:w="1417" w:type="dxa"/>
                  <w:tcBorders>
                    <w:top w:val="single" w:sz="4" w:space="0" w:color="auto"/>
                    <w:left w:val="nil"/>
                    <w:bottom w:val="single" w:sz="4" w:space="0" w:color="auto"/>
                    <w:right w:val="nil"/>
                  </w:tcBorders>
                  <w:shd w:val="clear" w:color="auto" w:fill="auto"/>
                  <w:vAlign w:val="center"/>
                </w:tcPr>
                <w:p w:rsidR="001861ED" w:rsidRPr="001861ED" w:rsidRDefault="001861ED" w:rsidP="001861ED">
                  <w:pPr>
                    <w:jc w:val="center"/>
                    <w:rPr>
                      <w:color w:val="000000"/>
                      <w:sz w:val="24"/>
                      <w:szCs w:val="24"/>
                    </w:rPr>
                  </w:pPr>
                  <w:r w:rsidRPr="001861ED">
                    <w:rPr>
                      <w:b/>
                      <w:bCs/>
                      <w:color w:val="000000"/>
                      <w:sz w:val="24"/>
                      <w:szCs w:val="24"/>
                    </w:rPr>
                    <w:t>5 156,0</w:t>
                  </w:r>
                </w:p>
              </w:tc>
              <w:tc>
                <w:tcPr>
                  <w:tcW w:w="1529" w:type="dxa"/>
                  <w:tcBorders>
                    <w:top w:val="single" w:sz="4" w:space="0" w:color="auto"/>
                    <w:left w:val="nil"/>
                    <w:bottom w:val="single" w:sz="4" w:space="0" w:color="auto"/>
                    <w:right w:val="nil"/>
                  </w:tcBorders>
                  <w:shd w:val="clear" w:color="000000" w:fill="E3F1F7"/>
                  <w:vAlign w:val="center"/>
                </w:tcPr>
                <w:p w:rsidR="001861ED" w:rsidRPr="001861ED" w:rsidRDefault="001861ED" w:rsidP="001861ED">
                  <w:pPr>
                    <w:jc w:val="center"/>
                    <w:rPr>
                      <w:i/>
                      <w:iCs/>
                      <w:color w:val="000000"/>
                      <w:sz w:val="24"/>
                      <w:szCs w:val="24"/>
                    </w:rPr>
                  </w:pPr>
                  <w:r w:rsidRPr="001861ED">
                    <w:rPr>
                      <w:b/>
                      <w:bCs/>
                      <w:color w:val="000000"/>
                      <w:sz w:val="24"/>
                      <w:szCs w:val="24"/>
                    </w:rPr>
                    <w:t>10,2%</w:t>
                  </w:r>
                </w:p>
              </w:tc>
            </w:tr>
          </w:tbl>
          <w:p w:rsidR="001861ED" w:rsidRPr="001861ED" w:rsidRDefault="001861ED" w:rsidP="001861ED">
            <w:pPr>
              <w:pStyle w:val="a5"/>
              <w:rPr>
                <w:i/>
                <w:sz w:val="24"/>
                <w:szCs w:val="24"/>
              </w:rPr>
            </w:pPr>
          </w:p>
          <w:p w:rsidR="001861ED" w:rsidRPr="001861ED" w:rsidRDefault="001861ED" w:rsidP="001861ED">
            <w:pPr>
              <w:pStyle w:val="a5"/>
              <w:rPr>
                <w:i/>
                <w:sz w:val="24"/>
                <w:szCs w:val="24"/>
              </w:rPr>
            </w:pPr>
            <w:r w:rsidRPr="001861ED">
              <w:rPr>
                <w:i/>
                <w:sz w:val="24"/>
                <w:szCs w:val="24"/>
              </w:rPr>
              <w:t xml:space="preserve">Курс рубля к доллару США: средний курс в 1 полугодии 2022 года: </w:t>
            </w:r>
            <w:r w:rsidRPr="001861ED">
              <w:rPr>
                <w:i/>
                <w:color w:val="000000"/>
                <w:sz w:val="24"/>
                <w:szCs w:val="24"/>
              </w:rPr>
              <w:t>76,30</w:t>
            </w:r>
            <w:r w:rsidRPr="001861ED">
              <w:rPr>
                <w:i/>
                <w:sz w:val="24"/>
                <w:szCs w:val="24"/>
              </w:rPr>
              <w:t xml:space="preserve">; средний курс в 1 полугодии 2021 года: </w:t>
            </w:r>
            <w:r w:rsidRPr="001861ED">
              <w:rPr>
                <w:i/>
                <w:color w:val="000000"/>
                <w:sz w:val="24"/>
                <w:szCs w:val="24"/>
              </w:rPr>
              <w:t>74,28</w:t>
            </w:r>
            <w:r w:rsidRPr="001861ED">
              <w:rPr>
                <w:i/>
                <w:sz w:val="24"/>
                <w:szCs w:val="24"/>
              </w:rPr>
              <w:t xml:space="preserve">; по состоянию на 30 июня 2022 года: </w:t>
            </w:r>
            <w:r w:rsidRPr="001861ED">
              <w:rPr>
                <w:i/>
                <w:color w:val="000000"/>
                <w:sz w:val="24"/>
                <w:szCs w:val="24"/>
              </w:rPr>
              <w:t>51,16</w:t>
            </w:r>
            <w:r w:rsidRPr="001861ED">
              <w:rPr>
                <w:i/>
                <w:sz w:val="24"/>
                <w:szCs w:val="24"/>
              </w:rPr>
              <w:t xml:space="preserve">; по состоянию на 31 декабря 2021 года: </w:t>
            </w:r>
            <w:r w:rsidRPr="001861ED">
              <w:rPr>
                <w:i/>
                <w:color w:val="000000"/>
                <w:sz w:val="24"/>
                <w:szCs w:val="24"/>
              </w:rPr>
              <w:t>74,29</w:t>
            </w:r>
            <w:r w:rsidRPr="001861ED">
              <w:rPr>
                <w:i/>
                <w:sz w:val="24"/>
                <w:szCs w:val="24"/>
              </w:rPr>
              <w:t>.</w:t>
            </w:r>
          </w:p>
          <w:p w:rsidR="001861ED" w:rsidRPr="001861ED" w:rsidRDefault="001861ED" w:rsidP="001861ED">
            <w:pPr>
              <w:pStyle w:val="a5"/>
              <w:rPr>
                <w:i/>
                <w:sz w:val="24"/>
                <w:szCs w:val="24"/>
              </w:rPr>
            </w:pPr>
            <w:r w:rsidRPr="001861ED">
              <w:rPr>
                <w:i/>
                <w:sz w:val="24"/>
                <w:szCs w:val="24"/>
              </w:rPr>
              <w:t>* EBITDA рассчитывается как операционная прибыль, увеличенная на сумму амортизации.</w:t>
            </w:r>
          </w:p>
          <w:p w:rsidR="001861ED" w:rsidRPr="001861ED" w:rsidRDefault="001861ED" w:rsidP="001861ED">
            <w:pPr>
              <w:pStyle w:val="a5"/>
              <w:rPr>
                <w:i/>
                <w:sz w:val="24"/>
                <w:szCs w:val="24"/>
              </w:rPr>
            </w:pPr>
            <w:r w:rsidRPr="001861ED">
              <w:rPr>
                <w:i/>
                <w:sz w:val="24"/>
                <w:szCs w:val="24"/>
              </w:rPr>
              <w:t xml:space="preserve">**Скорр. </w:t>
            </w:r>
            <w:r w:rsidRPr="001861ED">
              <w:rPr>
                <w:i/>
                <w:sz w:val="24"/>
                <w:szCs w:val="24"/>
                <w:lang w:val="en-US"/>
              </w:rPr>
              <w:t>EBITDA</w:t>
            </w:r>
            <w:r w:rsidRPr="001861ED">
              <w:rPr>
                <w:i/>
                <w:sz w:val="24"/>
                <w:szCs w:val="24"/>
              </w:rPr>
              <w:t xml:space="preserve"> определяется как </w:t>
            </w:r>
            <w:r w:rsidRPr="001861ED">
              <w:rPr>
                <w:i/>
                <w:sz w:val="24"/>
                <w:szCs w:val="24"/>
                <w:lang w:val="en-US"/>
              </w:rPr>
              <w:t>EBITDA</w:t>
            </w:r>
            <w:r w:rsidRPr="001861ED">
              <w:rPr>
                <w:i/>
                <w:sz w:val="24"/>
                <w:szCs w:val="24"/>
              </w:rPr>
              <w:t xml:space="preserve"> без учета курсовых разниц от операционной деятельности.</w:t>
            </w:r>
          </w:p>
          <w:p w:rsidR="001861ED" w:rsidRPr="001861ED" w:rsidRDefault="001861ED" w:rsidP="001861ED">
            <w:pPr>
              <w:pStyle w:val="a5"/>
              <w:snapToGrid w:val="0"/>
              <w:rPr>
                <w:i/>
                <w:sz w:val="24"/>
                <w:szCs w:val="24"/>
              </w:rPr>
            </w:pPr>
            <w:r w:rsidRPr="001861ED">
              <w:rPr>
                <w:i/>
                <w:sz w:val="24"/>
                <w:szCs w:val="24"/>
              </w:rPr>
              <w:t>*** Скорр. чистая прибыль определяется как чистая прибыль без учета прибыли или убытка от курсовых разниц.</w:t>
            </w:r>
          </w:p>
          <w:p w:rsidR="001861ED" w:rsidRPr="001861ED" w:rsidRDefault="001861ED" w:rsidP="001861ED">
            <w:pPr>
              <w:pStyle w:val="a5"/>
              <w:snapToGrid w:val="0"/>
              <w:rPr>
                <w:i/>
                <w:sz w:val="24"/>
                <w:szCs w:val="24"/>
              </w:rPr>
            </w:pPr>
            <w:r w:rsidRPr="001861ED">
              <w:rPr>
                <w:i/>
                <w:sz w:val="24"/>
                <w:szCs w:val="24"/>
              </w:rPr>
              <w:t>**** Свободный денежный поток, скорр. на сумму денежных средств и их эквивалентов, выбывших в результате потери контроля над иностранными компаниями.</w:t>
            </w:r>
          </w:p>
          <w:p w:rsidR="001861ED" w:rsidRPr="001861ED" w:rsidRDefault="001861ED" w:rsidP="001861ED">
            <w:pPr>
              <w:pStyle w:val="MediumGrid1-Accent21"/>
              <w:snapToGrid w:val="0"/>
              <w:spacing w:after="0" w:line="240" w:lineRule="auto"/>
              <w:ind w:left="0"/>
              <w:contextualSpacing w:val="0"/>
              <w:jc w:val="both"/>
              <w:rPr>
                <w:rFonts w:ascii="Times New Roman" w:hAnsi="Times New Roman"/>
                <w:sz w:val="24"/>
                <w:szCs w:val="24"/>
                <w:lang w:val="ru-RU"/>
              </w:rPr>
            </w:pPr>
          </w:p>
          <w:p w:rsidR="001861ED" w:rsidRPr="001861ED" w:rsidRDefault="001861ED" w:rsidP="001861ED">
            <w:pPr>
              <w:shd w:val="clear" w:color="auto" w:fill="FFFFFF"/>
              <w:ind w:firstLine="567"/>
              <w:jc w:val="both"/>
              <w:rPr>
                <w:sz w:val="24"/>
                <w:szCs w:val="24"/>
              </w:rPr>
            </w:pPr>
            <w:r w:rsidRPr="001861ED">
              <w:rPr>
                <w:sz w:val="24"/>
                <w:szCs w:val="24"/>
              </w:rPr>
              <w:t xml:space="preserve">Говоря о финансовой устойчивости компании, важно отметить, что несмотря на отзыв кредитных рейтингов у всех российских компаний международными рейтинговыми агентствами, ФосАгро стабильно продолжает обслуживать свои долговые обязательства, предпринимая все необходимы шаги для обеспечения выплаты по ним в срок. </w:t>
            </w:r>
          </w:p>
          <w:p w:rsidR="001861ED" w:rsidRPr="001861ED" w:rsidRDefault="001861ED" w:rsidP="001861ED">
            <w:pPr>
              <w:shd w:val="clear" w:color="auto" w:fill="FFFFFF"/>
              <w:ind w:firstLine="567"/>
              <w:jc w:val="both"/>
              <w:rPr>
                <w:sz w:val="24"/>
                <w:szCs w:val="24"/>
              </w:rPr>
            </w:pPr>
            <w:r w:rsidRPr="001861ED">
              <w:rPr>
                <w:sz w:val="24"/>
                <w:szCs w:val="24"/>
              </w:rPr>
              <w:t xml:space="preserve">Среди последних событий стоит выделить выплату компанией купона по еврооблигациям со сроком погашения в 2025 году. 22 июля 2022 года по ним был перечислен очередной купон в соответствии с </w:t>
            </w:r>
            <w:r w:rsidRPr="001861ED">
              <w:rPr>
                <w:rFonts w:eastAsia="Calibri"/>
                <w:sz w:val="24"/>
                <w:szCs w:val="24"/>
              </w:rPr>
              <w:t xml:space="preserve">Указом Президента РФ от 05.07.2022 № 430 с разделением потоков платежей между держателями облигаций в российской юрисдикции и остальными. </w:t>
            </w:r>
          </w:p>
          <w:p w:rsidR="001861ED" w:rsidRPr="001861ED" w:rsidRDefault="001861ED" w:rsidP="001861ED">
            <w:pPr>
              <w:shd w:val="clear" w:color="auto" w:fill="FFFFFF"/>
              <w:ind w:firstLine="567"/>
              <w:jc w:val="both"/>
              <w:rPr>
                <w:b/>
                <w:sz w:val="24"/>
                <w:szCs w:val="24"/>
              </w:rPr>
            </w:pPr>
            <w:r w:rsidRPr="001861ED">
              <w:rPr>
                <w:b/>
                <w:sz w:val="24"/>
                <w:szCs w:val="24"/>
              </w:rPr>
              <w:t>Ситуация на рынке в 1 полугодии 2022 года:</w:t>
            </w:r>
          </w:p>
          <w:p w:rsidR="001861ED" w:rsidRPr="001861ED" w:rsidRDefault="001861ED" w:rsidP="001861ED">
            <w:pPr>
              <w:snapToGrid w:val="0"/>
              <w:spacing w:after="120"/>
              <w:ind w:firstLine="567"/>
              <w:jc w:val="both"/>
              <w:rPr>
                <w:sz w:val="24"/>
                <w:szCs w:val="24"/>
              </w:rPr>
            </w:pPr>
            <w:r w:rsidRPr="001861ED">
              <w:rPr>
                <w:sz w:val="24"/>
                <w:szCs w:val="24"/>
              </w:rPr>
              <w:t>Ситуация на мировом рынке минеральных удобрений в 1 полугодии 2022 года характеризовалась наличием высокого уровня ценовой волатильности, особенно на рынках азотных удобрений. При этом стоимость минеральных удобрений для российских аграриев вплоть до 30 мая 2022 года оставалась фиксированной на уровне середины прошлого года.</w:t>
            </w:r>
          </w:p>
          <w:p w:rsidR="001861ED" w:rsidRPr="001861ED" w:rsidRDefault="001861ED" w:rsidP="001861ED">
            <w:pPr>
              <w:snapToGrid w:val="0"/>
              <w:spacing w:after="120"/>
              <w:ind w:firstLine="567"/>
              <w:jc w:val="both"/>
              <w:rPr>
                <w:sz w:val="24"/>
                <w:szCs w:val="24"/>
              </w:rPr>
            </w:pPr>
            <w:r w:rsidRPr="001861ED">
              <w:rPr>
                <w:sz w:val="24"/>
                <w:szCs w:val="24"/>
              </w:rPr>
              <w:t xml:space="preserve">Колебания мировых цен на карбамид в течение 1 полугодия 2022 года составили $500/т от минимального уровня $390/т до максимального $890/т, </w:t>
            </w:r>
            <w:r w:rsidRPr="001861ED">
              <w:rPr>
                <w:sz w:val="24"/>
                <w:szCs w:val="24"/>
                <w:lang w:val="en-US"/>
              </w:rPr>
              <w:t>FOB</w:t>
            </w:r>
            <w:r w:rsidRPr="001861ED">
              <w:rPr>
                <w:sz w:val="24"/>
                <w:szCs w:val="24"/>
              </w:rPr>
              <w:t xml:space="preserve">, Балтика. Цены на МАР колебались в пределах $800 - 1245/т, </w:t>
            </w:r>
            <w:r w:rsidRPr="001861ED">
              <w:rPr>
                <w:sz w:val="24"/>
                <w:szCs w:val="24"/>
                <w:lang w:val="en-US"/>
              </w:rPr>
              <w:t>FOB</w:t>
            </w:r>
            <w:r w:rsidRPr="001861ED">
              <w:rPr>
                <w:sz w:val="24"/>
                <w:szCs w:val="24"/>
              </w:rPr>
              <w:t>, Балтика.</w:t>
            </w:r>
          </w:p>
          <w:p w:rsidR="001861ED" w:rsidRPr="001861ED" w:rsidRDefault="001861ED" w:rsidP="001861ED">
            <w:pPr>
              <w:snapToGrid w:val="0"/>
              <w:spacing w:after="120"/>
              <w:ind w:firstLine="567"/>
              <w:jc w:val="both"/>
              <w:rPr>
                <w:sz w:val="24"/>
                <w:szCs w:val="24"/>
              </w:rPr>
            </w:pPr>
            <w:r w:rsidRPr="001861ED">
              <w:rPr>
                <w:sz w:val="24"/>
                <w:szCs w:val="24"/>
              </w:rPr>
              <w:lastRenderedPageBreak/>
              <w:t>Основными причинами сложившейся ситуации на рынках удобрений являлись:</w:t>
            </w:r>
          </w:p>
          <w:p w:rsidR="001861ED" w:rsidRPr="001861ED" w:rsidRDefault="001861ED" w:rsidP="001861ED">
            <w:pPr>
              <w:pStyle w:val="ae"/>
              <w:numPr>
                <w:ilvl w:val="0"/>
                <w:numId w:val="1"/>
              </w:numPr>
              <w:snapToGrid w:val="0"/>
              <w:spacing w:after="120" w:line="240" w:lineRule="auto"/>
              <w:ind w:left="426" w:firstLine="567"/>
              <w:jc w:val="both"/>
              <w:rPr>
                <w:rFonts w:ascii="Times New Roman" w:hAnsi="Times New Roman"/>
                <w:sz w:val="24"/>
                <w:szCs w:val="24"/>
              </w:rPr>
            </w:pPr>
            <w:r w:rsidRPr="001861ED">
              <w:rPr>
                <w:rFonts w:ascii="Times New Roman" w:hAnsi="Times New Roman"/>
                <w:sz w:val="24"/>
                <w:szCs w:val="24"/>
              </w:rPr>
              <w:t>Резкий рост и сохранение на высоком уровне мировых цен на энергоносители, особенно в странах Европы, что повлекло за собой сокращения внутренних производственных мощностей и рост импортного спроса и цен как на сырье, так и на удобрения (особенно азотные);</w:t>
            </w:r>
          </w:p>
          <w:p w:rsidR="001861ED" w:rsidRPr="001861ED" w:rsidRDefault="001861ED" w:rsidP="001861ED">
            <w:pPr>
              <w:pStyle w:val="ae"/>
              <w:numPr>
                <w:ilvl w:val="0"/>
                <w:numId w:val="1"/>
              </w:numPr>
              <w:snapToGrid w:val="0"/>
              <w:spacing w:after="120" w:line="240" w:lineRule="auto"/>
              <w:ind w:left="426" w:firstLine="567"/>
              <w:jc w:val="both"/>
              <w:rPr>
                <w:rFonts w:ascii="Times New Roman" w:hAnsi="Times New Roman"/>
                <w:sz w:val="24"/>
                <w:szCs w:val="24"/>
              </w:rPr>
            </w:pPr>
            <w:r w:rsidRPr="001861ED">
              <w:rPr>
                <w:rFonts w:ascii="Times New Roman" w:hAnsi="Times New Roman"/>
                <w:sz w:val="24"/>
                <w:szCs w:val="24"/>
                <w:lang w:val="en-US"/>
              </w:rPr>
              <w:t>C</w:t>
            </w:r>
            <w:r w:rsidRPr="001861ED">
              <w:rPr>
                <w:rFonts w:ascii="Times New Roman" w:hAnsi="Times New Roman"/>
                <w:sz w:val="24"/>
                <w:szCs w:val="24"/>
              </w:rPr>
              <w:t xml:space="preserve">окращение экспортного предложения российских удобрений и нарушение сложившихся торговых потоков; </w:t>
            </w:r>
          </w:p>
          <w:p w:rsidR="001861ED" w:rsidRPr="001861ED" w:rsidRDefault="001861ED" w:rsidP="001861ED">
            <w:pPr>
              <w:pStyle w:val="ae"/>
              <w:numPr>
                <w:ilvl w:val="0"/>
                <w:numId w:val="1"/>
              </w:numPr>
              <w:snapToGrid w:val="0"/>
              <w:spacing w:after="120" w:line="240" w:lineRule="auto"/>
              <w:ind w:left="426" w:firstLine="567"/>
              <w:jc w:val="both"/>
              <w:rPr>
                <w:rFonts w:ascii="Times New Roman" w:hAnsi="Times New Roman"/>
                <w:sz w:val="24"/>
                <w:szCs w:val="24"/>
              </w:rPr>
            </w:pPr>
            <w:r w:rsidRPr="001861ED">
              <w:rPr>
                <w:rFonts w:ascii="Times New Roman" w:hAnsi="Times New Roman"/>
                <w:sz w:val="24"/>
                <w:szCs w:val="24"/>
              </w:rPr>
              <w:t>Сокращение экспорта удобрений из Китая в пользу поставок на внутренний рынок;</w:t>
            </w:r>
          </w:p>
          <w:p w:rsidR="001861ED" w:rsidRPr="001861ED" w:rsidRDefault="001861ED" w:rsidP="001861ED">
            <w:pPr>
              <w:pStyle w:val="ae"/>
              <w:numPr>
                <w:ilvl w:val="0"/>
                <w:numId w:val="1"/>
              </w:numPr>
              <w:snapToGrid w:val="0"/>
              <w:spacing w:after="120" w:line="240" w:lineRule="auto"/>
              <w:ind w:left="426" w:firstLine="567"/>
              <w:jc w:val="both"/>
              <w:rPr>
                <w:rFonts w:ascii="Times New Roman" w:hAnsi="Times New Roman"/>
                <w:sz w:val="24"/>
                <w:szCs w:val="24"/>
              </w:rPr>
            </w:pPr>
            <w:r w:rsidRPr="001861ED">
              <w:rPr>
                <w:rFonts w:ascii="Times New Roman" w:hAnsi="Times New Roman"/>
                <w:sz w:val="24"/>
                <w:szCs w:val="24"/>
              </w:rPr>
              <w:t xml:space="preserve">Высокая волатильность мировых цен на основную сельхозпродукцию. </w:t>
            </w:r>
          </w:p>
          <w:p w:rsidR="001861ED" w:rsidRPr="001861ED" w:rsidRDefault="001861ED" w:rsidP="001861ED">
            <w:pPr>
              <w:snapToGrid w:val="0"/>
              <w:spacing w:after="120"/>
              <w:ind w:firstLine="567"/>
              <w:jc w:val="both"/>
              <w:rPr>
                <w:sz w:val="24"/>
                <w:szCs w:val="24"/>
              </w:rPr>
            </w:pPr>
            <w:r w:rsidRPr="001861ED">
              <w:rPr>
                <w:sz w:val="24"/>
                <w:szCs w:val="24"/>
              </w:rPr>
              <w:t xml:space="preserve">Средний уровень экспортных цен на МАР по итогам 1 полугодия 2022 года составили $1009/т, </w:t>
            </w:r>
            <w:r w:rsidRPr="001861ED">
              <w:rPr>
                <w:sz w:val="24"/>
                <w:szCs w:val="24"/>
                <w:lang w:val="en-US"/>
              </w:rPr>
              <w:t>FOB</w:t>
            </w:r>
            <w:r w:rsidRPr="001861ED">
              <w:rPr>
                <w:sz w:val="24"/>
                <w:szCs w:val="24"/>
              </w:rPr>
              <w:t xml:space="preserve">, Балтика, против $569/т в 1 полугодии 2021 года. Средний уровень цен на карбамид в 1 полугодии 2022 года составил $644/т, </w:t>
            </w:r>
            <w:r w:rsidRPr="001861ED">
              <w:rPr>
                <w:sz w:val="24"/>
                <w:szCs w:val="24"/>
                <w:lang w:val="en-US"/>
              </w:rPr>
              <w:t>FOB</w:t>
            </w:r>
            <w:r w:rsidRPr="001861ED">
              <w:rPr>
                <w:sz w:val="24"/>
                <w:szCs w:val="24"/>
              </w:rPr>
              <w:t>, Балтика против $339/т в январе-июне 2021 года;</w:t>
            </w:r>
          </w:p>
          <w:p w:rsidR="001861ED" w:rsidRPr="001861ED" w:rsidRDefault="001861ED" w:rsidP="001861ED">
            <w:pPr>
              <w:snapToGrid w:val="0"/>
              <w:spacing w:after="120"/>
              <w:ind w:firstLine="567"/>
              <w:jc w:val="both"/>
              <w:rPr>
                <w:sz w:val="24"/>
                <w:szCs w:val="24"/>
              </w:rPr>
            </w:pPr>
            <w:r w:rsidRPr="001861ED">
              <w:rPr>
                <w:sz w:val="24"/>
                <w:szCs w:val="24"/>
              </w:rPr>
              <w:t xml:space="preserve">Цены на основные сырьевые товары также стабильно росли в течение первого полугодия, превышая рекордные исторические уровни. Наиболее заметный рост цен наблюдался на аммиак, что было связано с высокими ценами на природный газ в Европе и фактической остановкой экспортных поставок товарного аммиака из России (вследствие введения санкций и остановки работы аммиакопровода Тольятти - Одесса). Цены на аммиак в марте-апреле достигали эквивалента $1500-1550/т, </w:t>
            </w:r>
            <w:r w:rsidRPr="001861ED">
              <w:rPr>
                <w:sz w:val="24"/>
                <w:szCs w:val="24"/>
                <w:lang w:val="en-US"/>
              </w:rPr>
              <w:t>FOB</w:t>
            </w:r>
            <w:r w:rsidRPr="001861ED">
              <w:rPr>
                <w:sz w:val="24"/>
                <w:szCs w:val="24"/>
              </w:rPr>
              <w:t xml:space="preserve">, Балтика. Цены на фосфатное сырье и серу росли в соответствии с изменением конъюнктуры рынков фосфорных удобрений. Средняя цена на серу по итогам 1 полугодия 2022 года составила $308/т, </w:t>
            </w:r>
            <w:r w:rsidRPr="001861ED">
              <w:rPr>
                <w:sz w:val="24"/>
                <w:szCs w:val="24"/>
                <w:lang w:val="en-US"/>
              </w:rPr>
              <w:t>FOB</w:t>
            </w:r>
            <w:r w:rsidRPr="001861ED">
              <w:rPr>
                <w:sz w:val="24"/>
                <w:szCs w:val="24"/>
              </w:rPr>
              <w:t xml:space="preserve">, Балтика против $155/т в январе-июне 2021 года. Цены на фосфатное сырье стабильно росли и на конец 1 полугодия 2022 года составляли $300/т, </w:t>
            </w:r>
            <w:r w:rsidRPr="001861ED">
              <w:rPr>
                <w:sz w:val="24"/>
                <w:szCs w:val="24"/>
                <w:lang w:val="en-US"/>
              </w:rPr>
              <w:t>FOB</w:t>
            </w:r>
            <w:r w:rsidRPr="001861ED">
              <w:rPr>
                <w:sz w:val="24"/>
                <w:szCs w:val="24"/>
              </w:rPr>
              <w:t>, Марокко (для сырья с содержанием 31-33% Р2О5) против $126/т на конец 1 полугодия 2021 года.</w:t>
            </w:r>
          </w:p>
          <w:p w:rsidR="001861ED" w:rsidRPr="001861ED" w:rsidRDefault="001861ED" w:rsidP="001861ED">
            <w:pPr>
              <w:snapToGrid w:val="0"/>
              <w:spacing w:after="120"/>
              <w:ind w:firstLine="567"/>
              <w:jc w:val="both"/>
              <w:rPr>
                <w:b/>
                <w:bCs/>
                <w:sz w:val="24"/>
                <w:szCs w:val="24"/>
              </w:rPr>
            </w:pPr>
            <w:r w:rsidRPr="001861ED">
              <w:rPr>
                <w:b/>
                <w:bCs/>
                <w:sz w:val="24"/>
                <w:szCs w:val="24"/>
              </w:rPr>
              <w:t>Рыночные перспективы</w:t>
            </w:r>
          </w:p>
          <w:p w:rsidR="001861ED" w:rsidRPr="001861ED" w:rsidRDefault="001861ED" w:rsidP="001861ED">
            <w:pPr>
              <w:ind w:firstLine="567"/>
              <w:jc w:val="both"/>
              <w:rPr>
                <w:sz w:val="24"/>
                <w:szCs w:val="24"/>
              </w:rPr>
            </w:pPr>
            <w:r w:rsidRPr="001861ED">
              <w:rPr>
                <w:sz w:val="24"/>
                <w:szCs w:val="24"/>
              </w:rPr>
              <w:t xml:space="preserve">Рынки азотных удобрений по-прежнему характеризуются сохранением высокой ценовой волатильности под воздействием рекордных цен на природный газ в Европе, новых сокращений производства в Европе и развития сезонного спроса на ключевых рынках сбыта Азии (Индии), Латинской Америки (Бразилии) и ближе к осени в Европе и Сев. Америке. </w:t>
            </w:r>
          </w:p>
          <w:p w:rsidR="001861ED" w:rsidRPr="001861ED" w:rsidRDefault="001861ED" w:rsidP="001861ED">
            <w:pPr>
              <w:ind w:firstLine="567"/>
              <w:jc w:val="both"/>
              <w:rPr>
                <w:color w:val="000000"/>
                <w:sz w:val="24"/>
                <w:szCs w:val="24"/>
              </w:rPr>
            </w:pPr>
            <w:r w:rsidRPr="001861ED">
              <w:rPr>
                <w:sz w:val="24"/>
                <w:szCs w:val="24"/>
              </w:rPr>
              <w:t>Рынок фосфорных удобрений также вступает в период развития сезонного спроса в Южной Азии и Латинской Америке.</w:t>
            </w:r>
            <w:r w:rsidRPr="001861ED">
              <w:rPr>
                <w:color w:val="000000"/>
                <w:sz w:val="24"/>
                <w:szCs w:val="24"/>
              </w:rPr>
              <w:t xml:space="preserve"> </w:t>
            </w:r>
          </w:p>
          <w:p w:rsidR="001861ED" w:rsidRPr="001861ED" w:rsidRDefault="001861ED" w:rsidP="001861ED">
            <w:pPr>
              <w:snapToGrid w:val="0"/>
              <w:rPr>
                <w:b/>
                <w:sz w:val="24"/>
                <w:szCs w:val="24"/>
                <w:lang w:eastAsia="en-GB"/>
              </w:rPr>
            </w:pPr>
            <w:r w:rsidRPr="001861ED">
              <w:rPr>
                <w:b/>
                <w:sz w:val="24"/>
                <w:szCs w:val="24"/>
              </w:rPr>
              <w:t>О компании</w:t>
            </w:r>
          </w:p>
          <w:p w:rsidR="001861ED" w:rsidRPr="001861ED" w:rsidRDefault="001861ED" w:rsidP="001861ED">
            <w:pPr>
              <w:spacing w:before="60" w:after="60"/>
              <w:ind w:firstLine="708"/>
              <w:jc w:val="both"/>
              <w:rPr>
                <w:rFonts w:eastAsia="Calibri"/>
                <w:b/>
                <w:bCs/>
                <w:iCs/>
                <w:color w:val="000000"/>
                <w:sz w:val="24"/>
                <w:szCs w:val="24"/>
              </w:rPr>
            </w:pPr>
            <w:r w:rsidRPr="001861ED">
              <w:rPr>
                <w:i/>
                <w:iCs/>
                <w:color w:val="000000"/>
                <w:sz w:val="24"/>
                <w:szCs w:val="24"/>
              </w:rPr>
              <w:t>ФосАгро (</w:t>
            </w:r>
            <w:hyperlink r:id="rId8" w:history="1">
              <w:r w:rsidRPr="001861ED">
                <w:rPr>
                  <w:rStyle w:val="aa"/>
                  <w:i/>
                  <w:iCs/>
                  <w:sz w:val="24"/>
                  <w:szCs w:val="24"/>
                </w:rPr>
                <w:t>www.phosagro.ru</w:t>
              </w:r>
            </w:hyperlink>
            <w:r w:rsidRPr="001861ED">
              <w:rPr>
                <w:i/>
                <w:iCs/>
                <w:color w:val="000000"/>
                <w:sz w:val="24"/>
                <w:szCs w:val="24"/>
              </w:rPr>
              <w:t>) – российская вертикально-интегрированная компания, занимающая одну из лидирующих позиций в мире по объемам выпуска фосфорсодержащих минеральных удобрений и высокосортного апатитового концентрата с содержанием P2O5 39% и более. Удобрения ФосАгро отличаются высокой эффективностью, обеспечивают экологичность производимой сельхозпродукции и не приводят к загрязнению почв тяжелыми металлами.</w:t>
            </w:r>
          </w:p>
          <w:p w:rsidR="001861ED" w:rsidRPr="001861ED" w:rsidRDefault="001861ED" w:rsidP="001861ED">
            <w:pPr>
              <w:spacing w:before="60" w:after="60"/>
              <w:ind w:firstLine="708"/>
              <w:jc w:val="both"/>
              <w:rPr>
                <w:rFonts w:eastAsia="Calibri"/>
                <w:i/>
                <w:iCs/>
                <w:color w:val="000000"/>
                <w:sz w:val="24"/>
                <w:szCs w:val="24"/>
              </w:rPr>
            </w:pPr>
            <w:r w:rsidRPr="001861ED">
              <w:rPr>
                <w:i/>
                <w:iCs/>
                <w:color w:val="000000"/>
                <w:sz w:val="24"/>
                <w:szCs w:val="24"/>
              </w:rPr>
              <w:t>Группа «ФосАгро» является крупнейшим европейским производителем фосфорсодержащих удобрений (по суммарному объему мощностей производства DAP/MAP/NP/NPK/NPS), крупнейшим мировым производителем высокосортного фосфорного сырья с содержанием P2O5 39% и одним из ведущих мировых производителей аммофоса и диаммонийфосфата, одним из ведущих в Европе и единственным в России производителем кормового монокальцийфосфата (MCP), а также единственным в России производителем нефелинового концентрата.</w:t>
            </w:r>
          </w:p>
          <w:p w:rsidR="001861ED" w:rsidRPr="001861ED" w:rsidRDefault="001861ED" w:rsidP="001861ED">
            <w:pPr>
              <w:spacing w:before="60" w:after="60"/>
              <w:ind w:firstLine="708"/>
              <w:jc w:val="both"/>
              <w:rPr>
                <w:i/>
                <w:iCs/>
                <w:color w:val="000000"/>
                <w:sz w:val="24"/>
                <w:szCs w:val="24"/>
              </w:rPr>
            </w:pPr>
            <w:r w:rsidRPr="001861ED">
              <w:rPr>
                <w:i/>
                <w:iCs/>
                <w:color w:val="000000"/>
                <w:sz w:val="24"/>
                <w:szCs w:val="24"/>
              </w:rPr>
              <w:t xml:space="preserve">Основная продукция компании, включая фосфатное сырье, 50 марок удобрений, кормовые фосфаты, аммиак и триполифосфат натрия, используются потребителями из 100 стран мира на всех обитаемых континентах. Приоритетными рынками сбыта продукции, помимо России и стран СНГ, являются страны Латинской Америки, Европы и Азии. </w:t>
            </w:r>
          </w:p>
          <w:p w:rsidR="001861ED" w:rsidRPr="001861ED" w:rsidRDefault="001861ED" w:rsidP="001861ED">
            <w:pPr>
              <w:spacing w:before="60" w:after="60"/>
              <w:ind w:firstLine="708"/>
              <w:jc w:val="both"/>
              <w:rPr>
                <w:i/>
                <w:iCs/>
                <w:color w:val="000000"/>
                <w:sz w:val="24"/>
                <w:szCs w:val="24"/>
              </w:rPr>
            </w:pPr>
            <w:r w:rsidRPr="001861ED">
              <w:rPr>
                <w:i/>
                <w:iCs/>
                <w:color w:val="000000"/>
                <w:sz w:val="24"/>
                <w:szCs w:val="24"/>
              </w:rPr>
              <w:t>Акции компании торгуются на Московской бирже, а глобальные депозитарные расписки (ГДР) на них имеют листинг на Лондонской фондовой бирже (тикер на Московской и Лондонской фондовых биржах PHOR).</w:t>
            </w:r>
          </w:p>
          <w:p w:rsidR="001861ED" w:rsidRPr="001861ED" w:rsidRDefault="001861ED" w:rsidP="001861ED">
            <w:pPr>
              <w:shd w:val="clear" w:color="auto" w:fill="FFFFFF"/>
              <w:ind w:left="256" w:right="115" w:firstLine="709"/>
              <w:jc w:val="both"/>
              <w:rPr>
                <w:i/>
                <w:iCs/>
                <w:color w:val="0563C1"/>
                <w:sz w:val="24"/>
                <w:szCs w:val="24"/>
                <w:u w:val="single" w:color="0563C1"/>
              </w:rPr>
            </w:pPr>
            <w:r w:rsidRPr="001861ED">
              <w:rPr>
                <w:i/>
                <w:iCs/>
                <w:color w:val="000000"/>
                <w:sz w:val="24"/>
                <w:szCs w:val="24"/>
              </w:rPr>
              <w:t>Более подробная информация о ПАО «ФосАгро» находится на сайте: www.phosagro</w:t>
            </w:r>
            <w:bookmarkStart w:id="0" w:name="_30j0zll"/>
            <w:bookmarkEnd w:id="0"/>
            <w:r w:rsidRPr="001861ED">
              <w:rPr>
                <w:i/>
                <w:iCs/>
                <w:color w:val="000000"/>
                <w:sz w:val="24"/>
                <w:szCs w:val="24"/>
              </w:rPr>
              <w:t>.ru</w:t>
            </w:r>
          </w:p>
          <w:p w:rsidR="001861ED" w:rsidRPr="00EB3FB1" w:rsidRDefault="001861ED" w:rsidP="009F04D2">
            <w:pPr>
              <w:shd w:val="clear" w:color="auto" w:fill="FFFFFF"/>
              <w:ind w:right="115"/>
              <w:jc w:val="both"/>
              <w:rPr>
                <w:i/>
                <w:iCs/>
                <w:color w:val="0563C1"/>
                <w:sz w:val="22"/>
                <w:szCs w:val="22"/>
                <w:u w:val="single" w:color="0563C1"/>
              </w:rPr>
            </w:pPr>
            <w:bookmarkStart w:id="1" w:name="_GoBack"/>
            <w:bookmarkEnd w:id="1"/>
          </w:p>
        </w:tc>
      </w:tr>
    </w:tbl>
    <w:p w:rsidR="00EA1DAB" w:rsidRPr="00EA2986" w:rsidRDefault="00EA1DAB" w:rsidP="00EA1DAB">
      <w:pPr>
        <w:rPr>
          <w:sz w:val="16"/>
          <w:szCs w:val="16"/>
        </w:rPr>
      </w:pPr>
    </w:p>
    <w:tbl>
      <w:tblPr>
        <w:tblW w:w="10915" w:type="dxa"/>
        <w:tblInd w:w="-539" w:type="dxa"/>
        <w:tblLayout w:type="fixed"/>
        <w:tblCellMar>
          <w:left w:w="28" w:type="dxa"/>
          <w:right w:w="28" w:type="dxa"/>
        </w:tblCellMar>
        <w:tblLook w:val="0000" w:firstRow="0" w:lastRow="0" w:firstColumn="0" w:lastColumn="0" w:noHBand="0" w:noVBand="0"/>
      </w:tblPr>
      <w:tblGrid>
        <w:gridCol w:w="1106"/>
        <w:gridCol w:w="510"/>
        <w:gridCol w:w="198"/>
        <w:gridCol w:w="313"/>
        <w:gridCol w:w="339"/>
        <w:gridCol w:w="1418"/>
        <w:gridCol w:w="397"/>
        <w:gridCol w:w="340"/>
        <w:gridCol w:w="29"/>
        <w:gridCol w:w="368"/>
        <w:gridCol w:w="1985"/>
        <w:gridCol w:w="397"/>
        <w:gridCol w:w="2835"/>
        <w:gridCol w:w="680"/>
      </w:tblGrid>
      <w:tr w:rsidR="00EA1DAB" w:rsidTr="00424CF2">
        <w:tblPrEx>
          <w:tblCellMar>
            <w:top w:w="0" w:type="dxa"/>
            <w:bottom w:w="0" w:type="dxa"/>
          </w:tblCellMar>
        </w:tblPrEx>
        <w:tc>
          <w:tcPr>
            <w:tcW w:w="10915" w:type="dxa"/>
            <w:gridSpan w:val="14"/>
            <w:tcBorders>
              <w:top w:val="single" w:sz="4" w:space="0" w:color="auto"/>
              <w:left w:val="single" w:sz="4" w:space="0" w:color="auto"/>
              <w:bottom w:val="single" w:sz="4" w:space="0" w:color="auto"/>
              <w:right w:val="single" w:sz="4" w:space="0" w:color="auto"/>
            </w:tcBorders>
          </w:tcPr>
          <w:p w:rsidR="00EA1DAB" w:rsidRDefault="00EA1DAB" w:rsidP="00FD22EF">
            <w:pPr>
              <w:jc w:val="center"/>
              <w:rPr>
                <w:sz w:val="24"/>
                <w:szCs w:val="24"/>
              </w:rPr>
            </w:pPr>
            <w:r>
              <w:rPr>
                <w:sz w:val="24"/>
                <w:szCs w:val="24"/>
              </w:rPr>
              <w:t>3. Подпись</w:t>
            </w:r>
          </w:p>
        </w:tc>
      </w:tr>
      <w:tr w:rsidR="00D50341" w:rsidRPr="00801C54" w:rsidTr="00424CF2">
        <w:tblPrEx>
          <w:tblCellMar>
            <w:top w:w="0" w:type="dxa"/>
            <w:bottom w:w="0" w:type="dxa"/>
          </w:tblCellMar>
        </w:tblPrEx>
        <w:tc>
          <w:tcPr>
            <w:tcW w:w="1106" w:type="dxa"/>
            <w:tcBorders>
              <w:top w:val="single" w:sz="4" w:space="0" w:color="auto"/>
              <w:left w:val="single" w:sz="4" w:space="0" w:color="auto"/>
            </w:tcBorders>
            <w:vAlign w:val="bottom"/>
          </w:tcPr>
          <w:p w:rsidR="00D50341" w:rsidRPr="00801C54" w:rsidRDefault="00D50341" w:rsidP="00D50341">
            <w:pPr>
              <w:ind w:left="57"/>
              <w:rPr>
                <w:sz w:val="22"/>
                <w:szCs w:val="22"/>
              </w:rPr>
            </w:pPr>
            <w:r w:rsidRPr="00801C54">
              <w:rPr>
                <w:sz w:val="22"/>
                <w:szCs w:val="22"/>
              </w:rPr>
              <w:t>3.1.</w:t>
            </w:r>
          </w:p>
        </w:tc>
        <w:tc>
          <w:tcPr>
            <w:tcW w:w="3515" w:type="dxa"/>
            <w:gridSpan w:val="7"/>
            <w:tcBorders>
              <w:top w:val="single" w:sz="4" w:space="0" w:color="auto"/>
              <w:bottom w:val="single" w:sz="4" w:space="0" w:color="auto"/>
            </w:tcBorders>
          </w:tcPr>
          <w:p w:rsidR="00D50341" w:rsidRPr="00801C54" w:rsidRDefault="00D50341" w:rsidP="00D50341">
            <w:pPr>
              <w:jc w:val="center"/>
              <w:rPr>
                <w:sz w:val="22"/>
                <w:szCs w:val="22"/>
              </w:rPr>
            </w:pPr>
            <w:r w:rsidRPr="00801C54">
              <w:rPr>
                <w:sz w:val="22"/>
                <w:szCs w:val="22"/>
              </w:rPr>
              <w:t>Заместитель Генерального директора ПАО "ФосАгро" по корпоративным и правовым вопросам</w:t>
            </w:r>
          </w:p>
          <w:p w:rsidR="001E219F" w:rsidRPr="00801C54" w:rsidRDefault="001E219F" w:rsidP="00595E04">
            <w:pPr>
              <w:jc w:val="center"/>
              <w:rPr>
                <w:sz w:val="22"/>
                <w:szCs w:val="22"/>
              </w:rPr>
            </w:pPr>
            <w:r w:rsidRPr="00801C54">
              <w:rPr>
                <w:sz w:val="22"/>
                <w:szCs w:val="22"/>
              </w:rPr>
              <w:lastRenderedPageBreak/>
              <w:t xml:space="preserve">(Доверенность б/н от </w:t>
            </w:r>
            <w:r w:rsidR="00595E04">
              <w:rPr>
                <w:sz w:val="22"/>
                <w:szCs w:val="22"/>
              </w:rPr>
              <w:t>22.03.2022</w:t>
            </w:r>
            <w:r w:rsidRPr="00801C54">
              <w:rPr>
                <w:sz w:val="22"/>
                <w:szCs w:val="22"/>
              </w:rPr>
              <w:t xml:space="preserve"> г.)</w:t>
            </w:r>
          </w:p>
        </w:tc>
        <w:tc>
          <w:tcPr>
            <w:tcW w:w="397" w:type="dxa"/>
            <w:gridSpan w:val="2"/>
            <w:tcBorders>
              <w:top w:val="single" w:sz="4" w:space="0" w:color="auto"/>
            </w:tcBorders>
            <w:vAlign w:val="bottom"/>
          </w:tcPr>
          <w:p w:rsidR="00D50341" w:rsidRPr="00801C54" w:rsidRDefault="00D50341" w:rsidP="00D50341">
            <w:pPr>
              <w:jc w:val="center"/>
              <w:rPr>
                <w:sz w:val="22"/>
                <w:szCs w:val="22"/>
              </w:rPr>
            </w:pPr>
          </w:p>
        </w:tc>
        <w:tc>
          <w:tcPr>
            <w:tcW w:w="1985" w:type="dxa"/>
            <w:tcBorders>
              <w:top w:val="single" w:sz="4" w:space="0" w:color="auto"/>
              <w:bottom w:val="single" w:sz="4" w:space="0" w:color="auto"/>
            </w:tcBorders>
            <w:vAlign w:val="bottom"/>
          </w:tcPr>
          <w:p w:rsidR="00D50341" w:rsidRPr="00801C54" w:rsidRDefault="00D50341" w:rsidP="00D50341">
            <w:pPr>
              <w:jc w:val="center"/>
              <w:rPr>
                <w:sz w:val="22"/>
                <w:szCs w:val="22"/>
              </w:rPr>
            </w:pPr>
          </w:p>
        </w:tc>
        <w:tc>
          <w:tcPr>
            <w:tcW w:w="397" w:type="dxa"/>
            <w:tcBorders>
              <w:top w:val="single" w:sz="4" w:space="0" w:color="auto"/>
            </w:tcBorders>
            <w:vAlign w:val="bottom"/>
          </w:tcPr>
          <w:p w:rsidR="00D50341" w:rsidRPr="00801C54" w:rsidRDefault="00D50341" w:rsidP="00D50341">
            <w:pPr>
              <w:rPr>
                <w:sz w:val="22"/>
                <w:szCs w:val="22"/>
              </w:rPr>
            </w:pPr>
          </w:p>
        </w:tc>
        <w:tc>
          <w:tcPr>
            <w:tcW w:w="2835" w:type="dxa"/>
            <w:tcBorders>
              <w:top w:val="single" w:sz="4" w:space="0" w:color="auto"/>
              <w:bottom w:val="single" w:sz="4" w:space="0" w:color="auto"/>
            </w:tcBorders>
            <w:vAlign w:val="bottom"/>
          </w:tcPr>
          <w:p w:rsidR="00D50341" w:rsidRPr="00801C54" w:rsidRDefault="00D50341" w:rsidP="00D50341">
            <w:pPr>
              <w:jc w:val="center"/>
              <w:rPr>
                <w:sz w:val="22"/>
                <w:szCs w:val="22"/>
              </w:rPr>
            </w:pPr>
            <w:r w:rsidRPr="00801C54">
              <w:rPr>
                <w:sz w:val="22"/>
                <w:szCs w:val="22"/>
              </w:rPr>
              <w:t>А.А. Сиротенко</w:t>
            </w:r>
          </w:p>
        </w:tc>
        <w:tc>
          <w:tcPr>
            <w:tcW w:w="680" w:type="dxa"/>
            <w:tcBorders>
              <w:top w:val="single" w:sz="4" w:space="0" w:color="auto"/>
              <w:right w:val="single" w:sz="4" w:space="0" w:color="auto"/>
            </w:tcBorders>
            <w:vAlign w:val="bottom"/>
          </w:tcPr>
          <w:p w:rsidR="00D50341" w:rsidRPr="00801C54" w:rsidRDefault="00D50341" w:rsidP="00D50341">
            <w:pPr>
              <w:rPr>
                <w:sz w:val="22"/>
                <w:szCs w:val="22"/>
              </w:rPr>
            </w:pPr>
          </w:p>
        </w:tc>
      </w:tr>
      <w:tr w:rsidR="00D50341" w:rsidRPr="00801C54" w:rsidTr="00424CF2">
        <w:tblPrEx>
          <w:tblCellMar>
            <w:top w:w="0" w:type="dxa"/>
            <w:bottom w:w="0" w:type="dxa"/>
          </w:tblCellMar>
        </w:tblPrEx>
        <w:tc>
          <w:tcPr>
            <w:tcW w:w="1106" w:type="dxa"/>
            <w:tcBorders>
              <w:left w:val="single" w:sz="4" w:space="0" w:color="auto"/>
              <w:bottom w:val="nil"/>
            </w:tcBorders>
          </w:tcPr>
          <w:p w:rsidR="00D50341" w:rsidRPr="00801C54" w:rsidRDefault="00D50341" w:rsidP="00D50341">
            <w:pPr>
              <w:ind w:left="57"/>
              <w:rPr>
                <w:sz w:val="22"/>
                <w:szCs w:val="22"/>
              </w:rPr>
            </w:pPr>
          </w:p>
        </w:tc>
        <w:tc>
          <w:tcPr>
            <w:tcW w:w="3515" w:type="dxa"/>
            <w:gridSpan w:val="7"/>
            <w:tcBorders>
              <w:bottom w:val="nil"/>
            </w:tcBorders>
          </w:tcPr>
          <w:p w:rsidR="00D50341" w:rsidRPr="00801C54" w:rsidRDefault="00D50341" w:rsidP="00D50341">
            <w:pPr>
              <w:jc w:val="center"/>
              <w:rPr>
                <w:sz w:val="22"/>
                <w:szCs w:val="22"/>
              </w:rPr>
            </w:pPr>
            <w:r w:rsidRPr="00801C54">
              <w:rPr>
                <w:sz w:val="22"/>
                <w:szCs w:val="22"/>
              </w:rPr>
              <w:t>(наименование должности уполномоченного лица эмитента)</w:t>
            </w:r>
          </w:p>
        </w:tc>
        <w:tc>
          <w:tcPr>
            <w:tcW w:w="397" w:type="dxa"/>
            <w:gridSpan w:val="2"/>
            <w:tcBorders>
              <w:bottom w:val="nil"/>
            </w:tcBorders>
          </w:tcPr>
          <w:p w:rsidR="00D50341" w:rsidRPr="00801C54" w:rsidRDefault="00D50341" w:rsidP="00D50341">
            <w:pPr>
              <w:jc w:val="center"/>
              <w:rPr>
                <w:sz w:val="22"/>
                <w:szCs w:val="22"/>
              </w:rPr>
            </w:pPr>
          </w:p>
        </w:tc>
        <w:tc>
          <w:tcPr>
            <w:tcW w:w="1985" w:type="dxa"/>
            <w:tcBorders>
              <w:top w:val="nil"/>
              <w:bottom w:val="nil"/>
            </w:tcBorders>
          </w:tcPr>
          <w:p w:rsidR="00D50341" w:rsidRPr="00801C54" w:rsidRDefault="00D50341" w:rsidP="00D50341">
            <w:pPr>
              <w:jc w:val="center"/>
              <w:rPr>
                <w:sz w:val="22"/>
                <w:szCs w:val="22"/>
                <w:lang w:val="en-US"/>
              </w:rPr>
            </w:pPr>
            <w:r w:rsidRPr="00801C54">
              <w:rPr>
                <w:sz w:val="22"/>
                <w:szCs w:val="22"/>
              </w:rPr>
              <w:t>(подпись)</w:t>
            </w:r>
          </w:p>
        </w:tc>
        <w:tc>
          <w:tcPr>
            <w:tcW w:w="397" w:type="dxa"/>
            <w:tcBorders>
              <w:top w:val="nil"/>
              <w:bottom w:val="nil"/>
            </w:tcBorders>
          </w:tcPr>
          <w:p w:rsidR="00D50341" w:rsidRPr="00801C54" w:rsidRDefault="00D50341" w:rsidP="00D50341">
            <w:pPr>
              <w:rPr>
                <w:sz w:val="22"/>
                <w:szCs w:val="22"/>
              </w:rPr>
            </w:pPr>
          </w:p>
        </w:tc>
        <w:tc>
          <w:tcPr>
            <w:tcW w:w="2835" w:type="dxa"/>
            <w:tcBorders>
              <w:top w:val="nil"/>
              <w:bottom w:val="nil"/>
            </w:tcBorders>
          </w:tcPr>
          <w:p w:rsidR="00D50341" w:rsidRPr="00801C54" w:rsidRDefault="00D50341" w:rsidP="00D50341">
            <w:pPr>
              <w:jc w:val="center"/>
              <w:rPr>
                <w:sz w:val="22"/>
                <w:szCs w:val="22"/>
              </w:rPr>
            </w:pPr>
            <w:r w:rsidRPr="00801C54">
              <w:rPr>
                <w:sz w:val="22"/>
                <w:szCs w:val="22"/>
              </w:rPr>
              <w:t>(И.О. Фамилия)</w:t>
            </w:r>
          </w:p>
        </w:tc>
        <w:tc>
          <w:tcPr>
            <w:tcW w:w="680" w:type="dxa"/>
            <w:tcBorders>
              <w:top w:val="nil"/>
              <w:bottom w:val="nil"/>
              <w:right w:val="single" w:sz="4" w:space="0" w:color="auto"/>
            </w:tcBorders>
          </w:tcPr>
          <w:p w:rsidR="00D50341" w:rsidRPr="00801C54" w:rsidRDefault="00D50341" w:rsidP="00D50341">
            <w:pPr>
              <w:rPr>
                <w:sz w:val="22"/>
                <w:szCs w:val="22"/>
              </w:rPr>
            </w:pPr>
          </w:p>
        </w:tc>
      </w:tr>
      <w:tr w:rsidR="004A463F" w:rsidRPr="00801C54" w:rsidTr="001D0E80">
        <w:tblPrEx>
          <w:tblCellMar>
            <w:top w:w="0" w:type="dxa"/>
            <w:bottom w:w="0" w:type="dxa"/>
          </w:tblCellMar>
        </w:tblPrEx>
        <w:tc>
          <w:tcPr>
            <w:tcW w:w="1616" w:type="dxa"/>
            <w:gridSpan w:val="2"/>
            <w:tcBorders>
              <w:top w:val="nil"/>
              <w:left w:val="single" w:sz="4" w:space="0" w:color="auto"/>
              <w:bottom w:val="nil"/>
              <w:right w:val="nil"/>
            </w:tcBorders>
            <w:vAlign w:val="bottom"/>
          </w:tcPr>
          <w:p w:rsidR="00D50341" w:rsidRPr="001D0E80" w:rsidRDefault="00D50341" w:rsidP="004A463F">
            <w:pPr>
              <w:ind w:left="57"/>
              <w:rPr>
                <w:sz w:val="22"/>
                <w:szCs w:val="22"/>
              </w:rPr>
            </w:pPr>
          </w:p>
          <w:p w:rsidR="004A463F" w:rsidRPr="001D0E80" w:rsidRDefault="004A463F" w:rsidP="004A463F">
            <w:pPr>
              <w:ind w:left="57"/>
              <w:rPr>
                <w:sz w:val="22"/>
                <w:szCs w:val="22"/>
              </w:rPr>
            </w:pPr>
            <w:r w:rsidRPr="001D0E80">
              <w:rPr>
                <w:sz w:val="22"/>
                <w:szCs w:val="22"/>
              </w:rPr>
              <w:t>3.2. Дата</w:t>
            </w:r>
          </w:p>
        </w:tc>
        <w:tc>
          <w:tcPr>
            <w:tcW w:w="198" w:type="dxa"/>
            <w:tcBorders>
              <w:top w:val="nil"/>
              <w:left w:val="nil"/>
              <w:bottom w:val="nil"/>
              <w:right w:val="nil"/>
            </w:tcBorders>
            <w:vAlign w:val="bottom"/>
          </w:tcPr>
          <w:p w:rsidR="004A463F" w:rsidRPr="001D0E80" w:rsidRDefault="004A463F" w:rsidP="004A463F">
            <w:pPr>
              <w:jc w:val="right"/>
              <w:rPr>
                <w:sz w:val="22"/>
                <w:szCs w:val="22"/>
              </w:rPr>
            </w:pPr>
            <w:r w:rsidRPr="001D0E80">
              <w:rPr>
                <w:sz w:val="22"/>
                <w:szCs w:val="22"/>
              </w:rPr>
              <w:t>«</w:t>
            </w:r>
          </w:p>
        </w:tc>
        <w:tc>
          <w:tcPr>
            <w:tcW w:w="313" w:type="dxa"/>
            <w:tcBorders>
              <w:top w:val="nil"/>
              <w:left w:val="nil"/>
              <w:bottom w:val="single" w:sz="4" w:space="0" w:color="auto"/>
              <w:right w:val="nil"/>
            </w:tcBorders>
            <w:vAlign w:val="bottom"/>
          </w:tcPr>
          <w:p w:rsidR="004A463F" w:rsidRPr="001D0E80" w:rsidRDefault="001861ED" w:rsidP="00EB3FB1">
            <w:pPr>
              <w:jc w:val="center"/>
              <w:rPr>
                <w:sz w:val="22"/>
                <w:szCs w:val="22"/>
              </w:rPr>
            </w:pPr>
            <w:r>
              <w:rPr>
                <w:sz w:val="22"/>
                <w:szCs w:val="22"/>
              </w:rPr>
              <w:t>18</w:t>
            </w:r>
          </w:p>
        </w:tc>
        <w:tc>
          <w:tcPr>
            <w:tcW w:w="339" w:type="dxa"/>
            <w:tcBorders>
              <w:top w:val="nil"/>
              <w:left w:val="nil"/>
              <w:bottom w:val="nil"/>
              <w:right w:val="nil"/>
            </w:tcBorders>
            <w:vAlign w:val="bottom"/>
          </w:tcPr>
          <w:p w:rsidR="004A463F" w:rsidRPr="001D0E80" w:rsidRDefault="004A463F" w:rsidP="004A463F">
            <w:pPr>
              <w:rPr>
                <w:sz w:val="22"/>
                <w:szCs w:val="22"/>
              </w:rPr>
            </w:pPr>
            <w:r w:rsidRPr="001D0E80">
              <w:rPr>
                <w:sz w:val="22"/>
                <w:szCs w:val="22"/>
              </w:rPr>
              <w:t>»</w:t>
            </w:r>
          </w:p>
        </w:tc>
        <w:tc>
          <w:tcPr>
            <w:tcW w:w="1418" w:type="dxa"/>
            <w:tcBorders>
              <w:top w:val="nil"/>
              <w:left w:val="nil"/>
              <w:bottom w:val="single" w:sz="4" w:space="0" w:color="auto"/>
              <w:right w:val="nil"/>
            </w:tcBorders>
            <w:vAlign w:val="bottom"/>
          </w:tcPr>
          <w:p w:rsidR="004A463F" w:rsidRPr="001D0E80" w:rsidRDefault="001861ED" w:rsidP="004A463F">
            <w:pPr>
              <w:jc w:val="center"/>
              <w:rPr>
                <w:sz w:val="22"/>
                <w:szCs w:val="22"/>
              </w:rPr>
            </w:pPr>
            <w:r>
              <w:rPr>
                <w:sz w:val="22"/>
                <w:szCs w:val="22"/>
              </w:rPr>
              <w:t>августа</w:t>
            </w:r>
          </w:p>
        </w:tc>
        <w:tc>
          <w:tcPr>
            <w:tcW w:w="397" w:type="dxa"/>
            <w:tcBorders>
              <w:top w:val="nil"/>
              <w:left w:val="nil"/>
              <w:bottom w:val="nil"/>
              <w:right w:val="nil"/>
            </w:tcBorders>
            <w:vAlign w:val="bottom"/>
          </w:tcPr>
          <w:p w:rsidR="004A463F" w:rsidRPr="001D0E80" w:rsidRDefault="004A463F" w:rsidP="004A463F">
            <w:pPr>
              <w:jc w:val="right"/>
              <w:rPr>
                <w:sz w:val="22"/>
                <w:szCs w:val="22"/>
              </w:rPr>
            </w:pPr>
            <w:r w:rsidRPr="001D0E80">
              <w:rPr>
                <w:sz w:val="22"/>
                <w:szCs w:val="22"/>
              </w:rPr>
              <w:t>20</w:t>
            </w:r>
          </w:p>
        </w:tc>
        <w:tc>
          <w:tcPr>
            <w:tcW w:w="369" w:type="dxa"/>
            <w:gridSpan w:val="2"/>
            <w:tcBorders>
              <w:top w:val="nil"/>
              <w:left w:val="nil"/>
              <w:bottom w:val="single" w:sz="4" w:space="0" w:color="auto"/>
              <w:right w:val="nil"/>
            </w:tcBorders>
            <w:vAlign w:val="bottom"/>
          </w:tcPr>
          <w:p w:rsidR="004A463F" w:rsidRPr="001D0E80" w:rsidRDefault="00D50341" w:rsidP="005C146C">
            <w:pPr>
              <w:rPr>
                <w:sz w:val="22"/>
                <w:szCs w:val="22"/>
              </w:rPr>
            </w:pPr>
            <w:r w:rsidRPr="001D0E80">
              <w:rPr>
                <w:sz w:val="22"/>
                <w:szCs w:val="22"/>
              </w:rPr>
              <w:t>2</w:t>
            </w:r>
            <w:r w:rsidR="005C146C" w:rsidRPr="001D0E80">
              <w:rPr>
                <w:sz w:val="22"/>
                <w:szCs w:val="22"/>
              </w:rPr>
              <w:t>2</w:t>
            </w:r>
          </w:p>
        </w:tc>
        <w:tc>
          <w:tcPr>
            <w:tcW w:w="6265" w:type="dxa"/>
            <w:gridSpan w:val="5"/>
            <w:tcBorders>
              <w:top w:val="nil"/>
              <w:left w:val="nil"/>
              <w:bottom w:val="nil"/>
              <w:right w:val="single" w:sz="4" w:space="0" w:color="auto"/>
            </w:tcBorders>
            <w:vAlign w:val="bottom"/>
          </w:tcPr>
          <w:p w:rsidR="004A463F" w:rsidRPr="001D0E80" w:rsidRDefault="004A463F" w:rsidP="004A463F">
            <w:pPr>
              <w:ind w:left="57"/>
              <w:rPr>
                <w:sz w:val="22"/>
                <w:szCs w:val="22"/>
              </w:rPr>
            </w:pPr>
            <w:r w:rsidRPr="001D0E80">
              <w:rPr>
                <w:sz w:val="22"/>
                <w:szCs w:val="22"/>
              </w:rPr>
              <w:t>г.</w:t>
            </w:r>
          </w:p>
        </w:tc>
      </w:tr>
      <w:tr w:rsidR="00EA1DAB" w:rsidTr="00424CF2">
        <w:tblPrEx>
          <w:tblCellMar>
            <w:top w:w="0" w:type="dxa"/>
            <w:bottom w:w="0" w:type="dxa"/>
          </w:tblCellMar>
        </w:tblPrEx>
        <w:tc>
          <w:tcPr>
            <w:tcW w:w="10915" w:type="dxa"/>
            <w:gridSpan w:val="14"/>
            <w:tcBorders>
              <w:top w:val="nil"/>
              <w:left w:val="single" w:sz="4" w:space="0" w:color="auto"/>
              <w:bottom w:val="single" w:sz="4" w:space="0" w:color="auto"/>
              <w:right w:val="single" w:sz="4" w:space="0" w:color="auto"/>
            </w:tcBorders>
          </w:tcPr>
          <w:p w:rsidR="00EA1DAB" w:rsidRDefault="00EA1DAB" w:rsidP="00FD22EF">
            <w:pPr>
              <w:rPr>
                <w:sz w:val="24"/>
                <w:szCs w:val="24"/>
              </w:rPr>
            </w:pPr>
          </w:p>
        </w:tc>
      </w:tr>
    </w:tbl>
    <w:p w:rsidR="002E0F09" w:rsidRDefault="002E0F09" w:rsidP="00EA1DAB">
      <w:pPr>
        <w:rPr>
          <w:sz w:val="24"/>
          <w:szCs w:val="24"/>
        </w:rPr>
      </w:pPr>
    </w:p>
    <w:sectPr w:rsidR="002E0F09" w:rsidSect="00801C54">
      <w:pgSz w:w="11907" w:h="16840" w:code="9"/>
      <w:pgMar w:top="426" w:right="851" w:bottom="0"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D98" w:rsidRDefault="00295D98">
      <w:r>
        <w:separator/>
      </w:r>
    </w:p>
  </w:endnote>
  <w:endnote w:type="continuationSeparator" w:id="0">
    <w:p w:rsidR="00295D98" w:rsidRDefault="0029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D98" w:rsidRDefault="00295D98">
      <w:r>
        <w:separator/>
      </w:r>
    </w:p>
  </w:footnote>
  <w:footnote w:type="continuationSeparator" w:id="0">
    <w:p w:rsidR="00295D98" w:rsidRDefault="0029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71461"/>
    <w:multiLevelType w:val="hybridMultilevel"/>
    <w:tmpl w:val="DD14E0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05297"/>
    <w:rsid w:val="0003064C"/>
    <w:rsid w:val="00064425"/>
    <w:rsid w:val="000808C0"/>
    <w:rsid w:val="00084463"/>
    <w:rsid w:val="000A0FBE"/>
    <w:rsid w:val="000E008D"/>
    <w:rsid w:val="000F12CD"/>
    <w:rsid w:val="000F727F"/>
    <w:rsid w:val="00133BF7"/>
    <w:rsid w:val="0014269C"/>
    <w:rsid w:val="001861ED"/>
    <w:rsid w:val="00192DAD"/>
    <w:rsid w:val="001C725A"/>
    <w:rsid w:val="001D0E80"/>
    <w:rsid w:val="001D2813"/>
    <w:rsid w:val="001D7D2A"/>
    <w:rsid w:val="001E219F"/>
    <w:rsid w:val="0022679C"/>
    <w:rsid w:val="00234F28"/>
    <w:rsid w:val="00274D04"/>
    <w:rsid w:val="00295D98"/>
    <w:rsid w:val="002B0634"/>
    <w:rsid w:val="002E0F09"/>
    <w:rsid w:val="002F685F"/>
    <w:rsid w:val="0030024D"/>
    <w:rsid w:val="00311B5C"/>
    <w:rsid w:val="003D5476"/>
    <w:rsid w:val="003F5B78"/>
    <w:rsid w:val="0041527C"/>
    <w:rsid w:val="00424CF2"/>
    <w:rsid w:val="00466AE6"/>
    <w:rsid w:val="00473BA6"/>
    <w:rsid w:val="004A463F"/>
    <w:rsid w:val="004D69DE"/>
    <w:rsid w:val="004D7509"/>
    <w:rsid w:val="004E653C"/>
    <w:rsid w:val="00506849"/>
    <w:rsid w:val="005152B0"/>
    <w:rsid w:val="00581EF9"/>
    <w:rsid w:val="005871AC"/>
    <w:rsid w:val="00595E04"/>
    <w:rsid w:val="00596BF5"/>
    <w:rsid w:val="005C146C"/>
    <w:rsid w:val="005D0F69"/>
    <w:rsid w:val="005F0173"/>
    <w:rsid w:val="005F5B6D"/>
    <w:rsid w:val="00600335"/>
    <w:rsid w:val="006235C5"/>
    <w:rsid w:val="00630A0E"/>
    <w:rsid w:val="00657C4E"/>
    <w:rsid w:val="006816D5"/>
    <w:rsid w:val="006C1FC7"/>
    <w:rsid w:val="006D222A"/>
    <w:rsid w:val="006F175E"/>
    <w:rsid w:val="007272F0"/>
    <w:rsid w:val="007303B2"/>
    <w:rsid w:val="00751243"/>
    <w:rsid w:val="00754F11"/>
    <w:rsid w:val="00771082"/>
    <w:rsid w:val="00786422"/>
    <w:rsid w:val="00801C54"/>
    <w:rsid w:val="00851A40"/>
    <w:rsid w:val="00852778"/>
    <w:rsid w:val="00855B6D"/>
    <w:rsid w:val="00864A75"/>
    <w:rsid w:val="008E0232"/>
    <w:rsid w:val="008F08F6"/>
    <w:rsid w:val="00915F8F"/>
    <w:rsid w:val="0094316E"/>
    <w:rsid w:val="009519B6"/>
    <w:rsid w:val="0098360D"/>
    <w:rsid w:val="00994BB0"/>
    <w:rsid w:val="009961D4"/>
    <w:rsid w:val="009B496B"/>
    <w:rsid w:val="009B4AE0"/>
    <w:rsid w:val="009F0150"/>
    <w:rsid w:val="009F04D2"/>
    <w:rsid w:val="009F0EA1"/>
    <w:rsid w:val="00A02E37"/>
    <w:rsid w:val="00A078AB"/>
    <w:rsid w:val="00A43052"/>
    <w:rsid w:val="00A62B1C"/>
    <w:rsid w:val="00A746A8"/>
    <w:rsid w:val="00A958F9"/>
    <w:rsid w:val="00A95B30"/>
    <w:rsid w:val="00AB1E8F"/>
    <w:rsid w:val="00AC3A42"/>
    <w:rsid w:val="00AD1148"/>
    <w:rsid w:val="00B053DA"/>
    <w:rsid w:val="00B23577"/>
    <w:rsid w:val="00B66943"/>
    <w:rsid w:val="00B84CF6"/>
    <w:rsid w:val="00BD0900"/>
    <w:rsid w:val="00BD0947"/>
    <w:rsid w:val="00BE6C23"/>
    <w:rsid w:val="00BF1977"/>
    <w:rsid w:val="00C05B6F"/>
    <w:rsid w:val="00C175D8"/>
    <w:rsid w:val="00C45E5C"/>
    <w:rsid w:val="00C84DDB"/>
    <w:rsid w:val="00C92DF4"/>
    <w:rsid w:val="00C93FE9"/>
    <w:rsid w:val="00CA1B05"/>
    <w:rsid w:val="00D14C91"/>
    <w:rsid w:val="00D23122"/>
    <w:rsid w:val="00D50341"/>
    <w:rsid w:val="00D970CC"/>
    <w:rsid w:val="00DF7800"/>
    <w:rsid w:val="00E1651A"/>
    <w:rsid w:val="00E2195D"/>
    <w:rsid w:val="00E54E5B"/>
    <w:rsid w:val="00E716A1"/>
    <w:rsid w:val="00EA1DAB"/>
    <w:rsid w:val="00EA2986"/>
    <w:rsid w:val="00EA2ABA"/>
    <w:rsid w:val="00EA3A23"/>
    <w:rsid w:val="00EB2F32"/>
    <w:rsid w:val="00EB3FB1"/>
    <w:rsid w:val="00EB4CEB"/>
    <w:rsid w:val="00EB6EF5"/>
    <w:rsid w:val="00ED466D"/>
    <w:rsid w:val="00F044B1"/>
    <w:rsid w:val="00F1623A"/>
    <w:rsid w:val="00F506A8"/>
    <w:rsid w:val="00F55B8B"/>
    <w:rsid w:val="00F71991"/>
    <w:rsid w:val="00F95908"/>
    <w:rsid w:val="00FB1F75"/>
    <w:rsid w:val="00FD22EF"/>
    <w:rsid w:val="00FE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179F21"/>
  <w14:defaultImageDpi w14:val="0"/>
  <w15:docId w15:val="{908D3D32-59F1-4544-BC7E-C7C4C019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character" w:customStyle="1" w:styleId="SUBST">
    <w:name w:val="__SUBST"/>
    <w:uiPriority w:val="99"/>
    <w:rsid w:val="00DF7800"/>
    <w:rPr>
      <w:b/>
      <w:i/>
      <w:sz w:val="22"/>
    </w:rPr>
  </w:style>
  <w:style w:type="character" w:styleId="aa">
    <w:name w:val="Hyperlink"/>
    <w:basedOn w:val="a0"/>
    <w:uiPriority w:val="99"/>
    <w:rsid w:val="00DF7800"/>
    <w:rPr>
      <w:rFonts w:cs="Times New Roman"/>
      <w:color w:val="0000FF"/>
      <w:u w:val="single"/>
    </w:rPr>
  </w:style>
  <w:style w:type="paragraph" w:styleId="ab">
    <w:name w:val="Body Text Indent"/>
    <w:basedOn w:val="a"/>
    <w:link w:val="ac"/>
    <w:uiPriority w:val="99"/>
    <w:rsid w:val="00DF7800"/>
    <w:pPr>
      <w:autoSpaceDE/>
      <w:autoSpaceDN/>
      <w:spacing w:after="120"/>
      <w:ind w:left="283"/>
    </w:pPr>
    <w:rPr>
      <w:sz w:val="24"/>
      <w:szCs w:val="24"/>
    </w:rPr>
  </w:style>
  <w:style w:type="character" w:customStyle="1" w:styleId="ac">
    <w:name w:val="Основной текст с отступом Знак"/>
    <w:basedOn w:val="a0"/>
    <w:link w:val="ab"/>
    <w:uiPriority w:val="99"/>
    <w:locked/>
    <w:rsid w:val="00DF7800"/>
    <w:rPr>
      <w:rFonts w:cs="Times New Roman"/>
      <w:sz w:val="24"/>
      <w:szCs w:val="24"/>
    </w:rPr>
  </w:style>
  <w:style w:type="paragraph" w:customStyle="1" w:styleId="o">
    <w:name w:val="o"/>
    <w:rsid w:val="005C146C"/>
    <w:pPr>
      <w:pBdr>
        <w:top w:val="none" w:sz="96" w:space="31" w:color="FFFFFF" w:frame="1"/>
        <w:left w:val="none" w:sz="96" w:space="31" w:color="FFFFFF" w:frame="1"/>
        <w:bottom w:val="none" w:sz="96" w:space="31" w:color="FFFFFF" w:frame="1"/>
        <w:right w:val="none" w:sz="96" w:space="31" w:color="FFFFFF" w:frame="1"/>
      </w:pBdr>
      <w:spacing w:before="100" w:after="100" w:line="240" w:lineRule="auto"/>
    </w:pPr>
    <w:rPr>
      <w:rFonts w:cs="Arial Unicode MS"/>
      <w:color w:val="000000"/>
      <w:sz w:val="24"/>
      <w:szCs w:val="24"/>
      <w:u w:color="000000"/>
      <w:lang w:val="en-US"/>
    </w:rPr>
  </w:style>
  <w:style w:type="paragraph" w:styleId="ad">
    <w:name w:val="Normal (Web)"/>
    <w:basedOn w:val="a"/>
    <w:uiPriority w:val="99"/>
    <w:unhideWhenUsed/>
    <w:rsid w:val="001D0E80"/>
    <w:pPr>
      <w:autoSpaceDE/>
      <w:autoSpaceDN/>
      <w:spacing w:before="100" w:beforeAutospacing="1" w:after="100" w:afterAutospacing="1"/>
    </w:pPr>
    <w:rPr>
      <w:sz w:val="24"/>
      <w:szCs w:val="24"/>
    </w:rPr>
  </w:style>
  <w:style w:type="character" w:customStyle="1" w:styleId="Hyperlink0">
    <w:name w:val="Hyperlink.0"/>
    <w:rsid w:val="00EB3FB1"/>
    <w:rPr>
      <w:rFonts w:ascii="Times New Roman" w:hAnsi="Times New Roman"/>
      <w:i/>
      <w:color w:val="0563C1"/>
      <w:sz w:val="18"/>
      <w:u w:val="single" w:color="0563C1"/>
      <w:lang w:val="ru-RU" w:eastAsia="x-none"/>
    </w:rPr>
  </w:style>
  <w:style w:type="paragraph" w:customStyle="1" w:styleId="MediumGrid1-Accent21">
    <w:name w:val="Medium Grid 1 - Accent 21"/>
    <w:basedOn w:val="a"/>
    <w:uiPriority w:val="34"/>
    <w:qFormat/>
    <w:rsid w:val="001861ED"/>
    <w:pPr>
      <w:autoSpaceDE/>
      <w:autoSpaceDN/>
      <w:spacing w:after="200" w:line="276" w:lineRule="auto"/>
      <w:ind w:left="720"/>
      <w:contextualSpacing/>
    </w:pPr>
    <w:rPr>
      <w:rFonts w:ascii="Calibri" w:eastAsia="SimSun" w:hAnsi="Calibri"/>
      <w:sz w:val="22"/>
      <w:szCs w:val="22"/>
      <w:lang w:val="en-GB" w:eastAsia="zh-CN"/>
    </w:rPr>
  </w:style>
  <w:style w:type="paragraph" w:styleId="ae">
    <w:name w:val="List Paragraph"/>
    <w:basedOn w:val="a"/>
    <w:uiPriority w:val="34"/>
    <w:qFormat/>
    <w:rsid w:val="001861ED"/>
    <w:pPr>
      <w:autoSpaceDE/>
      <w:autoSpaceDN/>
      <w:spacing w:after="160" w:line="259" w:lineRule="auto"/>
      <w:ind w:left="720"/>
      <w:contextualSpacing/>
    </w:pPr>
    <w:rPr>
      <w:rFonts w:ascii="Calibri" w:eastAsia="Calibri" w:hAnsi="Calibri"/>
      <w:sz w:val="22"/>
      <w:szCs w:val="22"/>
      <w:lang w:eastAsia="en-US"/>
    </w:rPr>
  </w:style>
  <w:style w:type="paragraph" w:customStyle="1" w:styleId="1">
    <w:name w:val="Текст1"/>
    <w:rsid w:val="001861E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440228">
      <w:marLeft w:val="0"/>
      <w:marRight w:val="0"/>
      <w:marTop w:val="0"/>
      <w:marBottom w:val="0"/>
      <w:divBdr>
        <w:top w:val="none" w:sz="0" w:space="0" w:color="auto"/>
        <w:left w:val="none" w:sz="0" w:space="0" w:color="auto"/>
        <w:bottom w:val="none" w:sz="0" w:space="0" w:color="auto"/>
        <w:right w:val="none" w:sz="0" w:space="0" w:color="auto"/>
      </w:divBdr>
    </w:div>
    <w:div w:id="1578440229">
      <w:marLeft w:val="0"/>
      <w:marRight w:val="0"/>
      <w:marTop w:val="0"/>
      <w:marBottom w:val="0"/>
      <w:divBdr>
        <w:top w:val="none" w:sz="0" w:space="0" w:color="auto"/>
        <w:left w:val="none" w:sz="0" w:space="0" w:color="auto"/>
        <w:bottom w:val="none" w:sz="0" w:space="0" w:color="auto"/>
        <w:right w:val="none" w:sz="0" w:space="0" w:color="auto"/>
      </w:divBdr>
    </w:div>
    <w:div w:id="1578440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sagro.ru" TargetMode="External"/><Relationship Id="rId3" Type="http://schemas.openxmlformats.org/officeDocument/2006/relationships/settings" Target="settings.xml"/><Relationship Id="rId7" Type="http://schemas.openxmlformats.org/officeDocument/2006/relationships/hyperlink" Target="http://www.phosagro.ru/ori/item415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1406</Words>
  <Characters>9006</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Шниткова Ирина Борисовна</cp:lastModifiedBy>
  <cp:revision>3</cp:revision>
  <dcterms:created xsi:type="dcterms:W3CDTF">2022-08-19T13:03:00Z</dcterms:created>
  <dcterms:modified xsi:type="dcterms:W3CDTF">2022-08-19T13:05:00Z</dcterms:modified>
</cp:coreProperties>
</file>