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2C" w:rsidRPr="00751E4B" w:rsidRDefault="00264B2C" w:rsidP="00170F60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 xml:space="preserve">СООБЩЕНИЕ </w:t>
      </w:r>
    </w:p>
    <w:p w:rsidR="000D0B37" w:rsidRPr="00751E4B" w:rsidRDefault="00170F60" w:rsidP="00170F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51E4B">
        <w:rPr>
          <w:b/>
          <w:bCs/>
          <w:sz w:val="24"/>
          <w:szCs w:val="24"/>
        </w:rPr>
        <w:t>о существенном факте о</w:t>
      </w:r>
      <w:r w:rsidR="000D0B37" w:rsidRPr="00751E4B">
        <w:rPr>
          <w:b/>
          <w:bCs/>
          <w:sz w:val="24"/>
          <w:szCs w:val="24"/>
        </w:rPr>
        <w:t xml:space="preserve"> совершении эмитентом или лицом, предоставившим</w:t>
      </w:r>
      <w:r w:rsidR="00DF21DE" w:rsidRPr="00751E4B">
        <w:rPr>
          <w:b/>
          <w:bCs/>
          <w:sz w:val="24"/>
          <w:szCs w:val="24"/>
        </w:rPr>
        <w:t xml:space="preserve"> </w:t>
      </w:r>
      <w:r w:rsidR="000D0B37" w:rsidRPr="00751E4B">
        <w:rPr>
          <w:b/>
          <w:bCs/>
          <w:sz w:val="24"/>
          <w:szCs w:val="24"/>
        </w:rPr>
        <w:t>обеспечение по облигациям эмитента, сделки, размер которой составляет 10 или более процентов балансовой стоимости активов эмитента или указанного лица на дату окончания отчетного периода (квартала, года), предшествующего совершению сделки, в отношении которого установленный истек срок представления бухгалтерской (финансовой</w:t>
      </w:r>
      <w:r w:rsidR="00677D76" w:rsidRPr="00751E4B">
        <w:rPr>
          <w:b/>
          <w:bCs/>
          <w:sz w:val="24"/>
          <w:szCs w:val="24"/>
        </w:rPr>
        <w:t>) отчетности (дату окончания последнего завершенного отчетного периода, предшествующего совершению сделки)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543"/>
      </w:tblGrid>
      <w:tr w:rsidR="00264B2C" w:rsidRPr="005B6697">
        <w:tc>
          <w:tcPr>
            <w:tcW w:w="10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 Общие сведения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Публичное</w:t>
            </w:r>
            <w:r w:rsidR="00DB62B7" w:rsidRPr="005B6697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8F7243" w:rsidP="002B6EE6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П</w:t>
            </w:r>
            <w:r w:rsidR="00DB62B7" w:rsidRPr="005B6697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B62B7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B7" w:rsidRPr="005B6697" w:rsidRDefault="00DB62B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2B7" w:rsidRPr="005B6697" w:rsidRDefault="00DB62B7" w:rsidP="002B6EE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B6697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B0369F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F" w:rsidRPr="005B6697" w:rsidRDefault="00B0369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38" w:rsidRPr="005B6697" w:rsidRDefault="00D117F9" w:rsidP="002A1538">
            <w:pPr>
              <w:jc w:val="both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2A1538" w:rsidRPr="005B669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B0369F" w:rsidRPr="005B6697" w:rsidRDefault="002A1538" w:rsidP="002A153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697">
              <w:rPr>
                <w:rStyle w:val="a3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B528EB" w:rsidRPr="005B6697"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EB" w:rsidRPr="0098217D" w:rsidRDefault="00B528EB" w:rsidP="00B528EB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8217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8EB" w:rsidRPr="0098217D" w:rsidRDefault="00B528EB" w:rsidP="00B528E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528EB" w:rsidRPr="0098217D" w:rsidRDefault="007150E5" w:rsidP="00B528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  <w:r w:rsidR="00DC3334" w:rsidRPr="00DA5473">
              <w:rPr>
                <w:b/>
                <w:i/>
                <w:sz w:val="22"/>
                <w:szCs w:val="22"/>
              </w:rPr>
              <w:t xml:space="preserve"> января 2020</w:t>
            </w:r>
            <w:r w:rsidR="00B528EB" w:rsidRPr="00DA5473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264B2C" w:rsidRPr="005B6697" w:rsidRDefault="00264B2C">
      <w:pPr>
        <w:autoSpaceDE w:val="0"/>
        <w:autoSpaceDN w:val="0"/>
        <w:rPr>
          <w:sz w:val="22"/>
          <w:szCs w:val="22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2693"/>
        <w:gridCol w:w="709"/>
      </w:tblGrid>
      <w:tr w:rsidR="00264B2C" w:rsidRPr="005B669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 Содержание сообщения</w:t>
            </w:r>
          </w:p>
        </w:tc>
      </w:tr>
      <w:tr w:rsidR="00446F79" w:rsidRPr="005B6697">
        <w:trPr>
          <w:trHeight w:val="346"/>
        </w:trPr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7D76" w:rsidRPr="005B6697" w:rsidRDefault="00DF21DE" w:rsidP="00677D76">
            <w:pPr>
              <w:autoSpaceDE w:val="0"/>
              <w:autoSpaceDN w:val="0"/>
              <w:ind w:left="142" w:right="113"/>
              <w:jc w:val="center"/>
              <w:rPr>
                <w:sz w:val="22"/>
                <w:szCs w:val="22"/>
              </w:rPr>
            </w:pPr>
            <w:r w:rsidRPr="005B6697">
              <w:rPr>
                <w:b/>
                <w:bCs/>
                <w:sz w:val="22"/>
                <w:szCs w:val="22"/>
              </w:rPr>
              <w:t>О</w:t>
            </w:r>
            <w:r w:rsidR="000D0B37" w:rsidRPr="005B6697">
              <w:rPr>
                <w:b/>
                <w:bCs/>
                <w:sz w:val="22"/>
                <w:szCs w:val="22"/>
              </w:rPr>
              <w:t xml:space="preserve"> совершении эмитентом сделки, размер которой составляет 10 или более процентов балансовой стоимости активов эмитента </w:t>
            </w:r>
            <w:r w:rsidR="008F145A" w:rsidRPr="005B6697">
              <w:rPr>
                <w:b/>
                <w:bCs/>
                <w:sz w:val="22"/>
                <w:szCs w:val="22"/>
              </w:rPr>
              <w:t xml:space="preserve">на </w:t>
            </w:r>
            <w:r w:rsidR="00677D76" w:rsidRPr="005B6697">
              <w:rPr>
                <w:b/>
                <w:bCs/>
                <w:sz w:val="22"/>
                <w:szCs w:val="22"/>
              </w:rPr>
              <w:t>дату окончания последнего завершенного отчетного периода, предшествующего совершению сделки</w:t>
            </w:r>
          </w:p>
          <w:p w:rsidR="000D0B37" w:rsidRPr="00AA54C1" w:rsidRDefault="00105D8A" w:rsidP="005939F3">
            <w:pPr>
              <w:tabs>
                <w:tab w:val="left" w:pos="567"/>
                <w:tab w:val="left" w:pos="851"/>
              </w:tabs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9398B" w:rsidRPr="00105D8A">
              <w:rPr>
                <w:sz w:val="22"/>
                <w:szCs w:val="22"/>
              </w:rPr>
              <w:t>В</w:t>
            </w:r>
            <w:r w:rsidR="00635D49" w:rsidRPr="00105D8A">
              <w:rPr>
                <w:sz w:val="22"/>
                <w:szCs w:val="22"/>
              </w:rPr>
              <w:t>ид организации,</w:t>
            </w:r>
            <w:r w:rsidR="00635D49">
              <w:rPr>
                <w:sz w:val="22"/>
              </w:rPr>
              <w:t xml:space="preserve"> которая совершила существенную сделку (эмитент; лицо, предоставившее обеспечение по облигациям эмитента)</w:t>
            </w:r>
            <w:r w:rsidR="00AF1EF1" w:rsidRPr="00AA54C1">
              <w:rPr>
                <w:sz w:val="22"/>
                <w:szCs w:val="22"/>
              </w:rPr>
              <w:t xml:space="preserve">: </w:t>
            </w:r>
            <w:r w:rsidR="00AF1EF1" w:rsidRPr="00AA54C1">
              <w:rPr>
                <w:b/>
                <w:i/>
                <w:sz w:val="22"/>
                <w:szCs w:val="22"/>
              </w:rPr>
              <w:t>эмитент.</w:t>
            </w:r>
          </w:p>
          <w:p w:rsidR="007B0278" w:rsidRPr="007870CB" w:rsidRDefault="00E64DD6" w:rsidP="005939F3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2</w:t>
            </w:r>
            <w:r w:rsidRPr="00AA54C1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К</w:t>
            </w:r>
            <w:r w:rsidR="00635D49">
              <w:rPr>
                <w:sz w:val="22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7D4046" w:rsidRPr="00AA54C1">
              <w:rPr>
                <w:sz w:val="22"/>
                <w:szCs w:val="22"/>
              </w:rPr>
              <w:t xml:space="preserve">: </w:t>
            </w:r>
            <w:r w:rsidR="007150E5">
              <w:rPr>
                <w:b/>
                <w:i/>
                <w:sz w:val="22"/>
                <w:szCs w:val="22"/>
              </w:rPr>
              <w:t>существенная сделка, не являющаяся крупной</w:t>
            </w:r>
            <w:r w:rsidR="003F2BCF" w:rsidRPr="00165BEC">
              <w:rPr>
                <w:b/>
                <w:i/>
                <w:sz w:val="22"/>
                <w:szCs w:val="22"/>
              </w:rPr>
              <w:t>.</w:t>
            </w:r>
          </w:p>
          <w:p w:rsidR="00EA1637" w:rsidRPr="00AA54C1" w:rsidRDefault="007D4046" w:rsidP="005939F3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4E299D">
              <w:rPr>
                <w:sz w:val="22"/>
                <w:szCs w:val="22"/>
              </w:rPr>
              <w:t>2.</w:t>
            </w:r>
            <w:r w:rsidR="00607151" w:rsidRPr="004E299D">
              <w:rPr>
                <w:sz w:val="22"/>
                <w:szCs w:val="22"/>
              </w:rPr>
              <w:t>3</w:t>
            </w:r>
            <w:r w:rsidRPr="004E299D">
              <w:rPr>
                <w:sz w:val="22"/>
                <w:szCs w:val="22"/>
              </w:rPr>
              <w:t xml:space="preserve">. Вид и предмет сделки: </w:t>
            </w:r>
            <w:r w:rsidR="007150E5">
              <w:rPr>
                <w:b/>
                <w:i/>
                <w:sz w:val="22"/>
                <w:szCs w:val="22"/>
              </w:rPr>
              <w:t>соглашение об обратном выкупе</w:t>
            </w:r>
            <w:r w:rsidR="003C1410">
              <w:rPr>
                <w:b/>
                <w:i/>
                <w:sz w:val="22"/>
                <w:szCs w:val="22"/>
              </w:rPr>
              <w:t xml:space="preserve"> </w:t>
            </w:r>
            <w:r w:rsidR="00AB7187">
              <w:rPr>
                <w:b/>
                <w:i/>
                <w:sz w:val="22"/>
                <w:szCs w:val="22"/>
              </w:rPr>
              <w:t>евро</w:t>
            </w:r>
            <w:r w:rsidR="003C1410">
              <w:rPr>
                <w:b/>
                <w:i/>
                <w:sz w:val="22"/>
                <w:szCs w:val="22"/>
              </w:rPr>
              <w:t>облигаций</w:t>
            </w:r>
            <w:r w:rsidR="00167EBB">
              <w:rPr>
                <w:b/>
                <w:i/>
                <w:sz w:val="22"/>
                <w:szCs w:val="22"/>
              </w:rPr>
              <w:t xml:space="preserve"> (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Forward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Note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Repurchase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Agreement</w:t>
            </w:r>
            <w:r w:rsidR="00167EBB" w:rsidRPr="00167EBB">
              <w:rPr>
                <w:b/>
                <w:i/>
                <w:sz w:val="22"/>
                <w:szCs w:val="22"/>
              </w:rPr>
              <w:t>)</w:t>
            </w:r>
            <w:r w:rsidR="005F6D6D" w:rsidRPr="004E299D">
              <w:rPr>
                <w:b/>
                <w:i/>
                <w:sz w:val="22"/>
                <w:szCs w:val="22"/>
              </w:rPr>
              <w:t>.</w:t>
            </w:r>
          </w:p>
          <w:p w:rsidR="00ED37F0" w:rsidRDefault="00E64DD6" w:rsidP="005939F3">
            <w:pPr>
              <w:ind w:left="142" w:right="113"/>
              <w:jc w:val="both"/>
            </w:pPr>
            <w:r w:rsidRPr="00AA54C1">
              <w:rPr>
                <w:sz w:val="22"/>
                <w:szCs w:val="22"/>
              </w:rPr>
              <w:t>2.</w:t>
            </w:r>
            <w:r w:rsidR="00607151" w:rsidRPr="00AA54C1">
              <w:rPr>
                <w:sz w:val="22"/>
                <w:szCs w:val="22"/>
              </w:rPr>
              <w:t>4</w:t>
            </w:r>
            <w:r w:rsidRPr="00AA54C1">
              <w:rPr>
                <w:sz w:val="22"/>
                <w:szCs w:val="22"/>
              </w:rPr>
              <w:t>.</w:t>
            </w:r>
            <w:r w:rsidR="007D4046" w:rsidRPr="00AA54C1">
              <w:rPr>
                <w:sz w:val="22"/>
                <w:szCs w:val="22"/>
              </w:rPr>
              <w:t xml:space="preserve">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E1D28" w:rsidRPr="002A4C4E">
              <w:rPr>
                <w:sz w:val="22"/>
                <w:szCs w:val="22"/>
              </w:rPr>
              <w:t>:</w:t>
            </w:r>
            <w:r w:rsidR="00936FE8" w:rsidRPr="002A4C4E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</w:rPr>
              <w:t xml:space="preserve">эмитент на основании </w:t>
            </w:r>
            <w:r w:rsidR="006D2DE5" w:rsidRPr="00494F2C">
              <w:rPr>
                <w:b/>
                <w:i/>
                <w:sz w:val="22"/>
                <w:szCs w:val="22"/>
              </w:rPr>
              <w:t>с</w:t>
            </w:r>
            <w:r w:rsidR="000D3D91" w:rsidRPr="00494F2C">
              <w:rPr>
                <w:b/>
                <w:i/>
                <w:sz w:val="22"/>
                <w:szCs w:val="22"/>
              </w:rPr>
              <w:t>оглашени</w:t>
            </w:r>
            <w:r w:rsidR="00167EBB">
              <w:rPr>
                <w:b/>
                <w:i/>
                <w:sz w:val="22"/>
                <w:szCs w:val="22"/>
              </w:rPr>
              <w:t>я</w:t>
            </w:r>
            <w:r w:rsidR="000D3D91" w:rsidRPr="00494F2C">
              <w:rPr>
                <w:b/>
                <w:i/>
                <w:sz w:val="22"/>
                <w:szCs w:val="22"/>
              </w:rPr>
              <w:t xml:space="preserve"> об обратном выкупе </w:t>
            </w:r>
            <w:r w:rsidR="00AB7187">
              <w:rPr>
                <w:b/>
                <w:i/>
                <w:sz w:val="22"/>
                <w:szCs w:val="22"/>
              </w:rPr>
              <w:t>евро</w:t>
            </w:r>
            <w:r w:rsidR="000D3D91" w:rsidRPr="00494F2C">
              <w:rPr>
                <w:b/>
                <w:i/>
                <w:sz w:val="22"/>
                <w:szCs w:val="22"/>
              </w:rPr>
              <w:t>облигаций</w:t>
            </w:r>
            <w:r w:rsidR="00167EBB">
              <w:rPr>
                <w:b/>
                <w:i/>
                <w:sz w:val="22"/>
                <w:szCs w:val="22"/>
              </w:rPr>
              <w:t xml:space="preserve"> (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Forward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Note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Repurchase</w:t>
            </w:r>
            <w:r w:rsidR="00167EBB" w:rsidRPr="00167EBB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  <w:lang w:val="en-US"/>
              </w:rPr>
              <w:t>Agreement</w:t>
            </w:r>
            <w:r w:rsidR="00167EBB" w:rsidRPr="00167EBB">
              <w:rPr>
                <w:b/>
                <w:i/>
                <w:sz w:val="22"/>
                <w:szCs w:val="22"/>
              </w:rPr>
              <w:t>)</w:t>
            </w:r>
            <w:r w:rsidR="008B77DD">
              <w:rPr>
                <w:b/>
                <w:i/>
                <w:sz w:val="22"/>
                <w:szCs w:val="22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</w:rPr>
              <w:t>приобретает еврооблигации номинальной стоимостью 150 млн. долларов США,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выпущенны</w:t>
            </w:r>
            <w:r w:rsidR="00167EBB">
              <w:rPr>
                <w:b/>
                <w:i/>
                <w:sz w:val="22"/>
                <w:szCs w:val="22"/>
              </w:rPr>
              <w:t>е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PhosAgro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Bond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Funding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Designated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Activity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</w:t>
            </w:r>
            <w:r w:rsidR="00ED37F0" w:rsidRPr="00494F2C">
              <w:rPr>
                <w:b/>
                <w:i/>
                <w:sz w:val="22"/>
                <w:szCs w:val="22"/>
                <w:lang w:val="en-US"/>
              </w:rPr>
              <w:t>Company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 в 2017 году</w:t>
            </w:r>
            <w:r w:rsidR="00167EBB">
              <w:rPr>
                <w:b/>
                <w:i/>
                <w:sz w:val="22"/>
                <w:szCs w:val="22"/>
              </w:rPr>
              <w:t xml:space="preserve"> в рамках выпуска еврооблигаций общей номинальной стоимостью 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500 млн. долларов США </w:t>
            </w:r>
            <w:r w:rsidR="00167EBB">
              <w:rPr>
                <w:b/>
                <w:i/>
                <w:sz w:val="22"/>
                <w:szCs w:val="22"/>
              </w:rPr>
              <w:t xml:space="preserve">со </w:t>
            </w:r>
            <w:r w:rsidR="00ED37F0" w:rsidRPr="00494F2C">
              <w:rPr>
                <w:b/>
                <w:i/>
                <w:sz w:val="22"/>
                <w:szCs w:val="22"/>
              </w:rPr>
              <w:t xml:space="preserve">ставкой купона 3,95% годовых </w:t>
            </w:r>
            <w:r w:rsidR="00BF7DB2">
              <w:rPr>
                <w:b/>
                <w:i/>
                <w:sz w:val="22"/>
                <w:szCs w:val="22"/>
              </w:rPr>
              <w:t xml:space="preserve">и </w:t>
            </w:r>
            <w:r w:rsidR="00ED37F0" w:rsidRPr="00494F2C">
              <w:rPr>
                <w:b/>
                <w:i/>
                <w:sz w:val="22"/>
                <w:szCs w:val="22"/>
              </w:rPr>
              <w:t>сроком погашения в 2021 году.</w:t>
            </w:r>
          </w:p>
          <w:p w:rsidR="007D4046" w:rsidRPr="005B6697" w:rsidRDefault="007D4046" w:rsidP="005939F3">
            <w:pPr>
              <w:ind w:left="142" w:right="113"/>
              <w:jc w:val="both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607151" w:rsidRPr="005B6697">
              <w:rPr>
                <w:sz w:val="22"/>
                <w:szCs w:val="22"/>
              </w:rPr>
              <w:t>5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 w:rsidRPr="005B6697">
              <w:rPr>
                <w:sz w:val="22"/>
                <w:szCs w:val="22"/>
              </w:rPr>
              <w:t>:</w:t>
            </w:r>
          </w:p>
          <w:p w:rsidR="005F4541" w:rsidRPr="00B86CE8" w:rsidRDefault="00936FE8" w:rsidP="005939F3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67473">
              <w:rPr>
                <w:sz w:val="22"/>
                <w:szCs w:val="22"/>
              </w:rPr>
              <w:t>Срок исполнения обязательств по сделке:</w:t>
            </w:r>
            <w:r w:rsidRPr="00867473">
              <w:rPr>
                <w:i/>
                <w:sz w:val="22"/>
                <w:szCs w:val="22"/>
              </w:rPr>
              <w:t xml:space="preserve"> </w:t>
            </w:r>
            <w:r w:rsidR="00167EBB" w:rsidRPr="00167EBB">
              <w:rPr>
                <w:b/>
                <w:i/>
                <w:sz w:val="22"/>
                <w:szCs w:val="22"/>
              </w:rPr>
              <w:t>до</w:t>
            </w:r>
            <w:r w:rsidR="00167EBB">
              <w:rPr>
                <w:i/>
                <w:sz w:val="22"/>
                <w:szCs w:val="22"/>
              </w:rPr>
              <w:t xml:space="preserve"> </w:t>
            </w:r>
            <w:r w:rsidR="00787C69" w:rsidRPr="00B86CE8">
              <w:rPr>
                <w:b/>
                <w:i/>
                <w:color w:val="000000" w:themeColor="text1"/>
                <w:sz w:val="22"/>
                <w:szCs w:val="22"/>
              </w:rPr>
              <w:t>11 февраля 2020 г.</w:t>
            </w:r>
          </w:p>
          <w:p w:rsidR="005F4541" w:rsidRPr="00167EBB" w:rsidRDefault="00936FE8" w:rsidP="005939F3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6C30D9">
              <w:rPr>
                <w:sz w:val="22"/>
                <w:szCs w:val="22"/>
              </w:rPr>
              <w:t>Стороны</w:t>
            </w:r>
            <w:r w:rsidRPr="00167EBB">
              <w:rPr>
                <w:sz w:val="22"/>
                <w:szCs w:val="22"/>
                <w:lang w:val="en-US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и</w:t>
            </w:r>
            <w:r w:rsidR="004D4A3F" w:rsidRPr="00167EBB">
              <w:rPr>
                <w:sz w:val="22"/>
                <w:szCs w:val="22"/>
                <w:lang w:val="en-US"/>
              </w:rPr>
              <w:t xml:space="preserve"> </w:t>
            </w:r>
            <w:r w:rsidR="004D4A3F" w:rsidRPr="006C30D9">
              <w:rPr>
                <w:sz w:val="22"/>
                <w:szCs w:val="22"/>
              </w:rPr>
              <w:t>выгодоприобретатели</w:t>
            </w:r>
            <w:r w:rsidR="004D4A3F" w:rsidRPr="00167EBB">
              <w:rPr>
                <w:sz w:val="22"/>
                <w:szCs w:val="22"/>
                <w:lang w:val="en-US"/>
              </w:rPr>
              <w:t xml:space="preserve"> </w:t>
            </w:r>
            <w:r w:rsidRPr="006C30D9">
              <w:rPr>
                <w:sz w:val="22"/>
                <w:szCs w:val="22"/>
              </w:rPr>
              <w:t>по</w:t>
            </w:r>
            <w:r w:rsidRPr="00167EBB">
              <w:rPr>
                <w:sz w:val="22"/>
                <w:szCs w:val="22"/>
                <w:lang w:val="en-US"/>
              </w:rPr>
              <w:t xml:space="preserve"> </w:t>
            </w:r>
            <w:r w:rsidRPr="006C30D9">
              <w:rPr>
                <w:sz w:val="22"/>
                <w:szCs w:val="22"/>
              </w:rPr>
              <w:t>сделке</w:t>
            </w:r>
            <w:r w:rsidRPr="00167EBB">
              <w:rPr>
                <w:sz w:val="22"/>
                <w:szCs w:val="22"/>
                <w:lang w:val="en-US"/>
              </w:rPr>
              <w:t>:</w:t>
            </w:r>
            <w:r w:rsidR="005F4541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167EBB">
              <w:rPr>
                <w:b/>
                <w:i/>
                <w:sz w:val="22"/>
                <w:szCs w:val="22"/>
              </w:rPr>
              <w:t>эмитент</w:t>
            </w:r>
            <w:r w:rsidR="005F6D6D" w:rsidRPr="00167EBB">
              <w:rPr>
                <w:b/>
                <w:bCs/>
                <w:i/>
                <w:sz w:val="22"/>
                <w:szCs w:val="22"/>
                <w:lang w:val="en-US"/>
              </w:rPr>
              <w:t>,</w:t>
            </w:r>
            <w:r w:rsidR="005F6D6D" w:rsidRPr="00167EBB">
              <w:rPr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PhosAgro</w:t>
            </w:r>
            <w:r w:rsidR="00966DA5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Bond</w:t>
            </w:r>
            <w:r w:rsidR="00966DA5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Funding</w:t>
            </w:r>
            <w:r w:rsidR="00966DA5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Designated</w:t>
            </w:r>
            <w:r w:rsidR="00966DA5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Activity</w:t>
            </w:r>
            <w:r w:rsidR="00966DA5" w:rsidRPr="00167EB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966DA5" w:rsidRPr="00342F32">
              <w:rPr>
                <w:b/>
                <w:i/>
                <w:sz w:val="22"/>
                <w:szCs w:val="22"/>
                <w:lang w:val="en-US"/>
              </w:rPr>
              <w:t>Company</w:t>
            </w:r>
            <w:r w:rsidR="005F6D6D" w:rsidRPr="00167EBB">
              <w:rPr>
                <w:b/>
                <w:bCs/>
                <w:i/>
                <w:sz w:val="22"/>
                <w:szCs w:val="22"/>
                <w:lang w:val="en-US"/>
              </w:rPr>
              <w:t>.</w:t>
            </w:r>
          </w:p>
          <w:p w:rsidR="00912396" w:rsidRPr="00DE6FB7" w:rsidRDefault="00936FE8" w:rsidP="005939F3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67473">
              <w:rPr>
                <w:sz w:val="22"/>
                <w:szCs w:val="22"/>
              </w:rPr>
              <w:t>Размер сделки в денежном выражении и в процентах от стоимости активов эмитента:</w:t>
            </w:r>
            <w:r w:rsidRPr="00867473">
              <w:rPr>
                <w:b/>
                <w:i/>
                <w:sz w:val="22"/>
                <w:szCs w:val="22"/>
              </w:rPr>
              <w:t xml:space="preserve"> </w:t>
            </w:r>
            <w:r w:rsidR="002C5AE7" w:rsidRPr="002C5AE7">
              <w:rPr>
                <w:b/>
                <w:i/>
                <w:sz w:val="22"/>
                <w:szCs w:val="22"/>
              </w:rPr>
              <w:t>156 116 980,</w:t>
            </w:r>
            <w:r w:rsidR="002C5AE7" w:rsidRPr="00305DEB">
              <w:rPr>
                <w:b/>
                <w:i/>
                <w:sz w:val="22"/>
                <w:szCs w:val="22"/>
              </w:rPr>
              <w:t>33</w:t>
            </w:r>
            <w:r w:rsidR="00305DEB" w:rsidRPr="00305DEB">
              <w:rPr>
                <w:b/>
                <w:i/>
                <w:sz w:val="22"/>
                <w:szCs w:val="22"/>
              </w:rPr>
              <w:t xml:space="preserve"> </w:t>
            </w:r>
            <w:r w:rsidR="005F6D6D" w:rsidRPr="00305DEB">
              <w:rPr>
                <w:b/>
                <w:i/>
                <w:sz w:val="22"/>
                <w:szCs w:val="22"/>
              </w:rPr>
              <w:t>(</w:t>
            </w:r>
            <w:r w:rsidR="00305DEB" w:rsidRPr="00305DEB">
              <w:rPr>
                <w:b/>
                <w:i/>
                <w:sz w:val="22"/>
                <w:szCs w:val="22"/>
              </w:rPr>
              <w:t>Сто пятьдесят шесть миллионов сто шестнадцать тысяч девятьсот восемьдесят</w:t>
            </w:r>
            <w:r w:rsidR="005F6D6D" w:rsidRPr="00305DEB">
              <w:rPr>
                <w:b/>
                <w:i/>
                <w:sz w:val="22"/>
                <w:szCs w:val="22"/>
              </w:rPr>
              <w:t>) долларов США</w:t>
            </w:r>
            <w:r w:rsidR="00AD5094" w:rsidRPr="00305DEB">
              <w:rPr>
                <w:b/>
                <w:i/>
                <w:sz w:val="22"/>
                <w:szCs w:val="22"/>
              </w:rPr>
              <w:t xml:space="preserve">, </w:t>
            </w:r>
            <w:r w:rsidR="002C5AE7" w:rsidRPr="00305DEB">
              <w:rPr>
                <w:b/>
                <w:i/>
                <w:sz w:val="22"/>
                <w:szCs w:val="22"/>
              </w:rPr>
              <w:t>33</w:t>
            </w:r>
            <w:r w:rsidR="00AD5094" w:rsidRPr="00305DEB">
              <w:rPr>
                <w:b/>
                <w:i/>
                <w:sz w:val="22"/>
                <w:szCs w:val="22"/>
              </w:rPr>
              <w:t xml:space="preserve"> цент</w:t>
            </w:r>
            <w:r w:rsidR="00305DEB">
              <w:rPr>
                <w:b/>
                <w:i/>
                <w:sz w:val="22"/>
                <w:szCs w:val="22"/>
              </w:rPr>
              <w:t>а</w:t>
            </w:r>
            <w:r w:rsidR="005F6D6D" w:rsidRPr="00305DEB">
              <w:rPr>
                <w:b/>
                <w:i/>
                <w:sz w:val="22"/>
                <w:szCs w:val="22"/>
              </w:rPr>
              <w:t xml:space="preserve">; что составляет </w:t>
            </w:r>
            <w:r w:rsidR="002C5AE7" w:rsidRPr="00305DEB">
              <w:rPr>
                <w:b/>
                <w:i/>
                <w:sz w:val="22"/>
                <w:szCs w:val="22"/>
              </w:rPr>
              <w:t>11</w:t>
            </w:r>
            <w:r w:rsidR="005F6D6D" w:rsidRPr="00305DEB">
              <w:rPr>
                <w:b/>
                <w:i/>
                <w:sz w:val="22"/>
                <w:szCs w:val="22"/>
              </w:rPr>
              <w:t xml:space="preserve"> % от стоимости активов эмитента.</w:t>
            </w:r>
          </w:p>
          <w:p w:rsidR="008F7243" w:rsidRPr="005B6697" w:rsidRDefault="007D4046" w:rsidP="005939F3">
            <w:pPr>
              <w:autoSpaceDE w:val="0"/>
              <w:autoSpaceDN w:val="0"/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E6FB7">
              <w:rPr>
                <w:sz w:val="22"/>
                <w:szCs w:val="22"/>
              </w:rPr>
              <w:t>2.</w:t>
            </w:r>
            <w:r w:rsidR="00607151" w:rsidRPr="00DE6FB7">
              <w:rPr>
                <w:sz w:val="22"/>
                <w:szCs w:val="22"/>
              </w:rPr>
              <w:t>6</w:t>
            </w:r>
            <w:r w:rsidRPr="00DE6FB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С</w:t>
            </w:r>
            <w:r w:rsidR="00635D49">
              <w:rPr>
                <w:sz w:val="22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</w:t>
            </w:r>
            <w:r w:rsidR="00635D49" w:rsidRPr="00F11979">
              <w:rPr>
                <w:sz w:val="22"/>
              </w:rPr>
              <w:t>)</w:t>
            </w:r>
            <w:r w:rsidRPr="00F11979">
              <w:rPr>
                <w:sz w:val="22"/>
                <w:szCs w:val="22"/>
              </w:rPr>
              <w:t>:</w:t>
            </w:r>
            <w:r w:rsidR="00846811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стоимость активов</w:t>
            </w:r>
            <w:r w:rsidR="00B80988" w:rsidRPr="00F11979">
              <w:rPr>
                <w:sz w:val="22"/>
                <w:szCs w:val="22"/>
              </w:rPr>
              <w:t xml:space="preserve"> </w:t>
            </w:r>
            <w:r w:rsidR="00B80988" w:rsidRPr="00F11979">
              <w:rPr>
                <w:b/>
                <w:i/>
                <w:sz w:val="22"/>
                <w:szCs w:val="22"/>
              </w:rPr>
              <w:t>на 3</w:t>
            </w:r>
            <w:r w:rsidR="007A59FB" w:rsidRPr="00F11979">
              <w:rPr>
                <w:b/>
                <w:i/>
                <w:sz w:val="22"/>
                <w:szCs w:val="22"/>
              </w:rPr>
              <w:t>0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</w:t>
            </w:r>
            <w:r w:rsidR="007A59FB" w:rsidRPr="00F11979">
              <w:rPr>
                <w:b/>
                <w:i/>
                <w:sz w:val="22"/>
                <w:szCs w:val="22"/>
              </w:rPr>
              <w:t>сентября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201</w:t>
            </w:r>
            <w:r w:rsidR="004A5A6C" w:rsidRPr="00F11979">
              <w:rPr>
                <w:b/>
                <w:i/>
                <w:sz w:val="22"/>
                <w:szCs w:val="22"/>
              </w:rPr>
              <w:t>9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года</w:t>
            </w:r>
            <w:r w:rsidR="00B80988" w:rsidRPr="00F11979">
              <w:rPr>
                <w:sz w:val="22"/>
                <w:szCs w:val="22"/>
              </w:rPr>
              <w:t xml:space="preserve"> – </w:t>
            </w:r>
            <w:r w:rsidR="007A59FB" w:rsidRPr="00F11979">
              <w:rPr>
                <w:b/>
                <w:i/>
                <w:sz w:val="22"/>
                <w:szCs w:val="22"/>
              </w:rPr>
              <w:t>87 165 048</w:t>
            </w:r>
            <w:r w:rsidR="00B80988" w:rsidRPr="00F11979">
              <w:rPr>
                <w:b/>
                <w:i/>
                <w:sz w:val="22"/>
                <w:szCs w:val="22"/>
              </w:rPr>
              <w:t xml:space="preserve"> тыс. руб.</w:t>
            </w:r>
          </w:p>
          <w:p w:rsidR="007D4046" w:rsidRPr="00CC5BD4" w:rsidRDefault="007D4046" w:rsidP="005939F3">
            <w:pPr>
              <w:autoSpaceDE w:val="0"/>
              <w:autoSpaceDN w:val="0"/>
              <w:ind w:left="142" w:right="113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2.</w:t>
            </w:r>
            <w:r w:rsidR="000610D7" w:rsidRPr="005B6697">
              <w:rPr>
                <w:sz w:val="22"/>
                <w:szCs w:val="22"/>
              </w:rPr>
              <w:t>7</w:t>
            </w:r>
            <w:r w:rsidRPr="005B6697">
              <w:rPr>
                <w:sz w:val="22"/>
                <w:szCs w:val="22"/>
              </w:rPr>
              <w:t xml:space="preserve">. </w:t>
            </w:r>
            <w:r w:rsidR="0009398B">
              <w:rPr>
                <w:sz w:val="22"/>
              </w:rPr>
              <w:t>Д</w:t>
            </w:r>
            <w:r w:rsidR="00635D49">
              <w:rPr>
                <w:sz w:val="22"/>
              </w:rPr>
              <w:t>ата совершения сделки</w:t>
            </w:r>
            <w:bookmarkStart w:id="0" w:name="_GoBack"/>
            <w:bookmarkEnd w:id="0"/>
            <w:r w:rsidRPr="00FE07B1">
              <w:rPr>
                <w:color w:val="000000" w:themeColor="text1"/>
                <w:sz w:val="22"/>
                <w:szCs w:val="22"/>
              </w:rPr>
              <w:t>:</w:t>
            </w:r>
            <w:r w:rsidR="005A11C3" w:rsidRPr="00FE07B1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5BD4" w:rsidRPr="00FE07B1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FE07B1" w:rsidRPr="00FE07B1">
              <w:rPr>
                <w:b/>
                <w:i/>
                <w:color w:val="000000" w:themeColor="text1"/>
                <w:sz w:val="22"/>
                <w:szCs w:val="22"/>
              </w:rPr>
              <w:t>8</w:t>
            </w:r>
            <w:r w:rsidR="007870CB" w:rsidRPr="00FE07B1">
              <w:rPr>
                <w:b/>
                <w:i/>
                <w:color w:val="000000" w:themeColor="text1"/>
                <w:sz w:val="22"/>
                <w:szCs w:val="22"/>
              </w:rPr>
              <w:t xml:space="preserve"> января 2020</w:t>
            </w:r>
            <w:r w:rsidR="00936FE8" w:rsidRPr="00FE07B1">
              <w:rPr>
                <w:b/>
                <w:i/>
                <w:color w:val="000000" w:themeColor="text1"/>
                <w:sz w:val="22"/>
                <w:szCs w:val="22"/>
              </w:rPr>
              <w:t xml:space="preserve"> года.</w:t>
            </w:r>
          </w:p>
          <w:p w:rsidR="00446F79" w:rsidRPr="0009398B" w:rsidRDefault="007D4046" w:rsidP="00B86CE8">
            <w:pPr>
              <w:pStyle w:val="ConsPlusNormal"/>
              <w:ind w:left="142" w:right="113"/>
              <w:jc w:val="both"/>
              <w:rPr>
                <w:rFonts w:ascii="Times New Roman" w:hAnsi="Times New Roman" w:cs="Times New Roman"/>
                <w:sz w:val="22"/>
              </w:rPr>
            </w:pPr>
            <w:r w:rsidRPr="00566441">
              <w:rPr>
                <w:rFonts w:ascii="Times New Roman" w:hAnsi="Times New Roman" w:cs="Times New Roman"/>
                <w:sz w:val="22"/>
              </w:rPr>
              <w:t>2.</w:t>
            </w:r>
            <w:r w:rsidR="000610D7" w:rsidRPr="00566441">
              <w:rPr>
                <w:rFonts w:ascii="Times New Roman" w:hAnsi="Times New Roman" w:cs="Times New Roman"/>
                <w:sz w:val="22"/>
              </w:rPr>
              <w:t>8</w:t>
            </w:r>
            <w:r w:rsidRPr="0056644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9398B">
              <w:rPr>
                <w:rFonts w:ascii="Times New Roman" w:hAnsi="Times New Roman" w:cs="Times New Roman"/>
                <w:sz w:val="22"/>
              </w:rPr>
              <w:t>С</w:t>
            </w:r>
            <w:r w:rsidR="00635D49" w:rsidRPr="00566441">
              <w:rPr>
                <w:rFonts w:ascii="Times New Roman" w:hAnsi="Times New Roman" w:cs="Times New Roman"/>
                <w:sz w:val="22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Pr="00847F74">
              <w:rPr>
                <w:rFonts w:ascii="Times New Roman" w:hAnsi="Times New Roman" w:cs="Times New Roman"/>
                <w:sz w:val="22"/>
              </w:rPr>
              <w:t>:</w:t>
            </w:r>
            <w:r w:rsidR="002A1538" w:rsidRPr="005B6697">
              <w:rPr>
                <w:sz w:val="22"/>
                <w:szCs w:val="22"/>
              </w:rPr>
              <w:t xml:space="preserve"> </w:t>
            </w:r>
            <w:r w:rsidR="004E216E" w:rsidRPr="004E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решение коллегиального орган</w:t>
            </w:r>
            <w:r w:rsidR="004E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4E216E" w:rsidRPr="004E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управления эмитента о согласии на совершение сделки не требовалось и не принималось</w:t>
            </w:r>
          </w:p>
        </w:tc>
      </w:tr>
      <w:tr w:rsidR="00264B2C" w:rsidRPr="005B6697">
        <w:tc>
          <w:tcPr>
            <w:tcW w:w="106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lastRenderedPageBreak/>
              <w:t xml:space="preserve"> Подпись</w:t>
            </w:r>
          </w:p>
        </w:tc>
      </w:tr>
      <w:tr w:rsidR="00DB62B7" w:rsidRPr="005B669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07805" w:rsidRPr="00B07805" w:rsidRDefault="00B07805" w:rsidP="00B07805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B07805">
              <w:rPr>
                <w:sz w:val="22"/>
                <w:szCs w:val="22"/>
              </w:rPr>
              <w:t>ПАО «ФосАгро» по корпоративным и правовым вопросам</w:t>
            </w:r>
          </w:p>
          <w:p w:rsidR="00DB62B7" w:rsidRPr="00B07805" w:rsidRDefault="00CF6391" w:rsidP="007F201B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(Доверенность б/н </w:t>
            </w:r>
            <w:r w:rsidR="00B07805" w:rsidRPr="00B07805">
              <w:rPr>
                <w:sz w:val="22"/>
                <w:szCs w:val="22"/>
              </w:rPr>
              <w:t xml:space="preserve">от </w:t>
            </w:r>
            <w:r w:rsidR="007F201B">
              <w:rPr>
                <w:sz w:val="22"/>
                <w:szCs w:val="22"/>
              </w:rPr>
              <w:t>20.12.2019</w:t>
            </w:r>
            <w:r w:rsidR="00B07805" w:rsidRPr="00B07805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2B7" w:rsidRPr="00B07805" w:rsidRDefault="00DB62B7" w:rsidP="002B6EE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B7" w:rsidRPr="005B6697" w:rsidRDefault="00DB62B7" w:rsidP="002B6EE6">
            <w:pPr>
              <w:jc w:val="right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>
        <w:tc>
          <w:tcPr>
            <w:tcW w:w="4706" w:type="dxa"/>
            <w:gridSpan w:val="7"/>
            <w:tcBorders>
              <w:top w:val="nil"/>
              <w:bottom w:val="nil"/>
              <w:right w:val="nil"/>
            </w:tcBorders>
          </w:tcPr>
          <w:p w:rsidR="00DB62B7" w:rsidRPr="005B6697" w:rsidRDefault="00DB62B7" w:rsidP="002B6EE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2B7" w:rsidRPr="005B6697" w:rsidRDefault="00DB62B7" w:rsidP="002B6EE6">
            <w:pPr>
              <w:jc w:val="center"/>
              <w:rPr>
                <w:sz w:val="22"/>
                <w:szCs w:val="22"/>
              </w:rPr>
            </w:pPr>
            <w:r w:rsidRPr="005B6697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DB62B7" w:rsidRPr="005B6697">
        <w:tc>
          <w:tcPr>
            <w:tcW w:w="1219" w:type="dxa"/>
            <w:tcBorders>
              <w:top w:val="nil"/>
              <w:bottom w:val="nil"/>
              <w:right w:val="nil"/>
            </w:tcBorders>
            <w:vAlign w:val="bottom"/>
          </w:tcPr>
          <w:p w:rsidR="00DB62B7" w:rsidRPr="004018D1" w:rsidRDefault="00DB62B7" w:rsidP="002B6EE6">
            <w:pPr>
              <w:ind w:left="57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2B7" w:rsidRPr="004018D1" w:rsidRDefault="007F201B" w:rsidP="00682A61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</w:t>
            </w:r>
            <w:r w:rsidR="00682A61">
              <w:rPr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B7" w:rsidRPr="004018D1" w:rsidRDefault="00DB62B7" w:rsidP="002B6EE6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2B7" w:rsidRPr="004018D1" w:rsidRDefault="007F201B" w:rsidP="008B43D4">
            <w:pPr>
              <w:jc w:val="center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B7" w:rsidRPr="004018D1" w:rsidRDefault="00DB62B7" w:rsidP="002B6EE6">
            <w:pPr>
              <w:jc w:val="right"/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2B7" w:rsidRPr="004018D1" w:rsidRDefault="007F201B" w:rsidP="0023454E">
            <w:pPr>
              <w:rPr>
                <w:sz w:val="22"/>
                <w:szCs w:val="22"/>
              </w:rPr>
            </w:pPr>
            <w:r w:rsidRPr="004018D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2B7" w:rsidRPr="004018D1" w:rsidRDefault="00DB62B7" w:rsidP="002B6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B62B7" w:rsidRPr="005B6697" w:rsidRDefault="00DB62B7" w:rsidP="002B6EE6">
            <w:pPr>
              <w:rPr>
                <w:sz w:val="22"/>
                <w:szCs w:val="22"/>
              </w:rPr>
            </w:pPr>
          </w:p>
        </w:tc>
      </w:tr>
      <w:tr w:rsidR="00264B2C" w:rsidRPr="005B6697">
        <w:tc>
          <w:tcPr>
            <w:tcW w:w="12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64B2C" w:rsidRPr="005B6697" w:rsidRDefault="00264B2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64B2C" w:rsidRPr="005B6697" w:rsidRDefault="00264B2C">
      <w:pPr>
        <w:rPr>
          <w:sz w:val="22"/>
          <w:szCs w:val="22"/>
        </w:rPr>
      </w:pPr>
    </w:p>
    <w:sectPr w:rsidR="00264B2C" w:rsidRPr="005B6697" w:rsidSect="00CC5B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2E" w:rsidRDefault="0026112E" w:rsidP="00887EEF">
      <w:r>
        <w:separator/>
      </w:r>
    </w:p>
  </w:endnote>
  <w:endnote w:type="continuationSeparator" w:id="0">
    <w:p w:rsidR="0026112E" w:rsidRDefault="0026112E" w:rsidP="00887EEF">
      <w:r>
        <w:continuationSeparator/>
      </w:r>
    </w:p>
  </w:endnote>
  <w:endnote w:type="continuationNotice" w:id="1">
    <w:p w:rsidR="0026112E" w:rsidRDefault="00261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2E" w:rsidRDefault="0026112E" w:rsidP="00887EEF">
      <w:r>
        <w:separator/>
      </w:r>
    </w:p>
  </w:footnote>
  <w:footnote w:type="continuationSeparator" w:id="0">
    <w:p w:rsidR="0026112E" w:rsidRDefault="0026112E" w:rsidP="00887EEF">
      <w:r>
        <w:continuationSeparator/>
      </w:r>
    </w:p>
  </w:footnote>
  <w:footnote w:type="continuationNotice" w:id="1">
    <w:p w:rsidR="0026112E" w:rsidRDefault="002611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C"/>
    <w:multiLevelType w:val="hybridMultilevel"/>
    <w:tmpl w:val="1C483520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264C5D"/>
    <w:multiLevelType w:val="hybridMultilevel"/>
    <w:tmpl w:val="D4B60C1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E404730"/>
    <w:multiLevelType w:val="hybridMultilevel"/>
    <w:tmpl w:val="637280B6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853616"/>
    <w:multiLevelType w:val="hybridMultilevel"/>
    <w:tmpl w:val="57FCF798"/>
    <w:lvl w:ilvl="0" w:tplc="0000000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35900"/>
    <w:multiLevelType w:val="hybridMultilevel"/>
    <w:tmpl w:val="58B2F824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6126E3C"/>
    <w:multiLevelType w:val="hybridMultilevel"/>
    <w:tmpl w:val="9A2CF840"/>
    <w:lvl w:ilvl="0" w:tplc="0000000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0000000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F"/>
    <w:rsid w:val="00011491"/>
    <w:rsid w:val="000326F1"/>
    <w:rsid w:val="00033E44"/>
    <w:rsid w:val="000362D5"/>
    <w:rsid w:val="00051FB4"/>
    <w:rsid w:val="000610D7"/>
    <w:rsid w:val="00062FEE"/>
    <w:rsid w:val="000704D9"/>
    <w:rsid w:val="0009398B"/>
    <w:rsid w:val="000B792F"/>
    <w:rsid w:val="000D0B37"/>
    <w:rsid w:val="000D3D91"/>
    <w:rsid w:val="00105D8A"/>
    <w:rsid w:val="00165BEC"/>
    <w:rsid w:val="00167EBB"/>
    <w:rsid w:val="00170F60"/>
    <w:rsid w:val="00190AAC"/>
    <w:rsid w:val="001A48B8"/>
    <w:rsid w:val="00222E1E"/>
    <w:rsid w:val="0023454E"/>
    <w:rsid w:val="0026112E"/>
    <w:rsid w:val="00264B2C"/>
    <w:rsid w:val="0029004A"/>
    <w:rsid w:val="002A1538"/>
    <w:rsid w:val="002A4C4E"/>
    <w:rsid w:val="002B6EE6"/>
    <w:rsid w:val="002C5AE7"/>
    <w:rsid w:val="00305DEB"/>
    <w:rsid w:val="00326A12"/>
    <w:rsid w:val="00330028"/>
    <w:rsid w:val="003317A5"/>
    <w:rsid w:val="00342F32"/>
    <w:rsid w:val="00345D00"/>
    <w:rsid w:val="00384666"/>
    <w:rsid w:val="003B6514"/>
    <w:rsid w:val="003C1410"/>
    <w:rsid w:val="003D008C"/>
    <w:rsid w:val="003F2BCF"/>
    <w:rsid w:val="003F5AB2"/>
    <w:rsid w:val="004018D1"/>
    <w:rsid w:val="004236F8"/>
    <w:rsid w:val="00424B31"/>
    <w:rsid w:val="00446F79"/>
    <w:rsid w:val="00465E04"/>
    <w:rsid w:val="00494F2C"/>
    <w:rsid w:val="004A5A6C"/>
    <w:rsid w:val="004D3615"/>
    <w:rsid w:val="004D4A3F"/>
    <w:rsid w:val="004E1A19"/>
    <w:rsid w:val="004E216E"/>
    <w:rsid w:val="004E299D"/>
    <w:rsid w:val="004E3963"/>
    <w:rsid w:val="004F5445"/>
    <w:rsid w:val="00501123"/>
    <w:rsid w:val="00523DB5"/>
    <w:rsid w:val="005367FF"/>
    <w:rsid w:val="005408B4"/>
    <w:rsid w:val="00566441"/>
    <w:rsid w:val="00575A66"/>
    <w:rsid w:val="005939F3"/>
    <w:rsid w:val="005A11C3"/>
    <w:rsid w:val="005B6697"/>
    <w:rsid w:val="005F4541"/>
    <w:rsid w:val="005F6D6D"/>
    <w:rsid w:val="00607151"/>
    <w:rsid w:val="00635D49"/>
    <w:rsid w:val="00636121"/>
    <w:rsid w:val="0066754E"/>
    <w:rsid w:val="00677D76"/>
    <w:rsid w:val="00682A61"/>
    <w:rsid w:val="00693E9E"/>
    <w:rsid w:val="006C30D9"/>
    <w:rsid w:val="006D2DE5"/>
    <w:rsid w:val="006D3D8D"/>
    <w:rsid w:val="006D6399"/>
    <w:rsid w:val="007069A3"/>
    <w:rsid w:val="007150E5"/>
    <w:rsid w:val="00733CF5"/>
    <w:rsid w:val="007461B7"/>
    <w:rsid w:val="00751E4B"/>
    <w:rsid w:val="007523DD"/>
    <w:rsid w:val="007870CB"/>
    <w:rsid w:val="00787C2D"/>
    <w:rsid w:val="00787C69"/>
    <w:rsid w:val="007A461B"/>
    <w:rsid w:val="007A48E5"/>
    <w:rsid w:val="007A59FB"/>
    <w:rsid w:val="007B0278"/>
    <w:rsid w:val="007D0D70"/>
    <w:rsid w:val="007D4046"/>
    <w:rsid w:val="007F201B"/>
    <w:rsid w:val="00805A41"/>
    <w:rsid w:val="008066F2"/>
    <w:rsid w:val="00811A5F"/>
    <w:rsid w:val="008425C2"/>
    <w:rsid w:val="00846811"/>
    <w:rsid w:val="00847F74"/>
    <w:rsid w:val="00867473"/>
    <w:rsid w:val="00873D38"/>
    <w:rsid w:val="00887EEF"/>
    <w:rsid w:val="00896E54"/>
    <w:rsid w:val="00897212"/>
    <w:rsid w:val="008A1B04"/>
    <w:rsid w:val="008B43D4"/>
    <w:rsid w:val="008B77DD"/>
    <w:rsid w:val="008D2872"/>
    <w:rsid w:val="008F145A"/>
    <w:rsid w:val="008F7243"/>
    <w:rsid w:val="00912396"/>
    <w:rsid w:val="00936FE8"/>
    <w:rsid w:val="00943E76"/>
    <w:rsid w:val="00956820"/>
    <w:rsid w:val="00966DA5"/>
    <w:rsid w:val="0098217D"/>
    <w:rsid w:val="00991F23"/>
    <w:rsid w:val="009A67B4"/>
    <w:rsid w:val="009D155F"/>
    <w:rsid w:val="009D37B9"/>
    <w:rsid w:val="009F24B1"/>
    <w:rsid w:val="009F2923"/>
    <w:rsid w:val="00A3036B"/>
    <w:rsid w:val="00A37C12"/>
    <w:rsid w:val="00A66A42"/>
    <w:rsid w:val="00A6701E"/>
    <w:rsid w:val="00A74DD0"/>
    <w:rsid w:val="00A86F4B"/>
    <w:rsid w:val="00A92667"/>
    <w:rsid w:val="00AA1A7C"/>
    <w:rsid w:val="00AA54C1"/>
    <w:rsid w:val="00AB7187"/>
    <w:rsid w:val="00AC5506"/>
    <w:rsid w:val="00AD5094"/>
    <w:rsid w:val="00AF1EF1"/>
    <w:rsid w:val="00AF2133"/>
    <w:rsid w:val="00B0369F"/>
    <w:rsid w:val="00B07805"/>
    <w:rsid w:val="00B528EB"/>
    <w:rsid w:val="00B80988"/>
    <w:rsid w:val="00B86CE8"/>
    <w:rsid w:val="00BC6C80"/>
    <w:rsid w:val="00BE1D28"/>
    <w:rsid w:val="00BF7DB2"/>
    <w:rsid w:val="00C26DF3"/>
    <w:rsid w:val="00C90778"/>
    <w:rsid w:val="00C92239"/>
    <w:rsid w:val="00CC5B10"/>
    <w:rsid w:val="00CC5BD4"/>
    <w:rsid w:val="00CF1D13"/>
    <w:rsid w:val="00CF6391"/>
    <w:rsid w:val="00D117F9"/>
    <w:rsid w:val="00D46574"/>
    <w:rsid w:val="00D81D4C"/>
    <w:rsid w:val="00DA213A"/>
    <w:rsid w:val="00DA5473"/>
    <w:rsid w:val="00DB62B7"/>
    <w:rsid w:val="00DC3334"/>
    <w:rsid w:val="00DC5BA9"/>
    <w:rsid w:val="00DD4521"/>
    <w:rsid w:val="00DE6FB7"/>
    <w:rsid w:val="00DF21DE"/>
    <w:rsid w:val="00DF4EC9"/>
    <w:rsid w:val="00E32832"/>
    <w:rsid w:val="00E366CE"/>
    <w:rsid w:val="00E64DD6"/>
    <w:rsid w:val="00E7386E"/>
    <w:rsid w:val="00E9402E"/>
    <w:rsid w:val="00E96D9F"/>
    <w:rsid w:val="00EA1637"/>
    <w:rsid w:val="00EC0897"/>
    <w:rsid w:val="00ED37F0"/>
    <w:rsid w:val="00ED4D17"/>
    <w:rsid w:val="00ED6F80"/>
    <w:rsid w:val="00F11979"/>
    <w:rsid w:val="00F15F13"/>
    <w:rsid w:val="00F279A6"/>
    <w:rsid w:val="00F40950"/>
    <w:rsid w:val="00F721CE"/>
    <w:rsid w:val="00F74089"/>
    <w:rsid w:val="00F86C96"/>
    <w:rsid w:val="00FB14DC"/>
    <w:rsid w:val="00FE07B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87174"/>
  <w14:defaultImageDpi w14:val="0"/>
  <w15:docId w15:val="{E7969F85-35DF-451A-97A7-8DD40B8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pPr>
      <w:autoSpaceDE w:val="0"/>
      <w:autoSpaceDN w:val="0"/>
    </w:pPr>
    <w:rPr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DB62B7"/>
    <w:rPr>
      <w:b/>
      <w:i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 Знак1 Знак"/>
    <w:basedOn w:val="a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936FE8"/>
  </w:style>
  <w:style w:type="paragraph" w:customStyle="1" w:styleId="ConsPlusNormal">
    <w:name w:val="ConsPlusNormal"/>
    <w:basedOn w:val="a"/>
    <w:pPr>
      <w:autoSpaceDE w:val="0"/>
      <w:autoSpaceDN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pPr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87EE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unhideWhenUsed/>
    <w:rsid w:val="00887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87EEF"/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7EE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Шниткова Ирина Борисовна</dc:creator>
  <cp:keywords/>
  <cp:lastModifiedBy>Коновалова Екатерина Спартаковна</cp:lastModifiedBy>
  <cp:revision>7</cp:revision>
  <dcterms:created xsi:type="dcterms:W3CDTF">2020-01-27T13:18:00Z</dcterms:created>
  <dcterms:modified xsi:type="dcterms:W3CDTF">2020-01-28T13:00:00Z</dcterms:modified>
</cp:coreProperties>
</file>